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9F06C8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F90B0C" w:rsidRPr="009F06C8" w:rsidRDefault="00F90B0C" w:rsidP="00B55B58">
      <w:pPr>
        <w:pStyle w:val="Corpsdetexte"/>
      </w:pPr>
    </w:p>
    <w:p w:rsidR="001200FD" w:rsidRPr="009F06C8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4"/>
        <w:gridCol w:w="4998"/>
      </w:tblGrid>
      <w:tr w:rsidR="00EC02B8" w:rsidRPr="009F06C8" w:rsidTr="00B3535A">
        <w:trPr>
          <w:trHeight w:val="483"/>
        </w:trPr>
        <w:tc>
          <w:tcPr>
            <w:tcW w:w="5110" w:type="dxa"/>
          </w:tcPr>
          <w:p w:rsidR="006A4ADA" w:rsidRPr="009F06C8" w:rsidRDefault="003B381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9F06C8">
              <w:rPr>
                <w:rFonts w:cs="Arial"/>
                <w:b/>
                <w:szCs w:val="16"/>
              </w:rPr>
              <w:t>Division des personnels enseignants</w:t>
            </w:r>
          </w:p>
          <w:p w:rsidR="003B3811" w:rsidRPr="009F06C8" w:rsidRDefault="003B381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9F06C8">
              <w:rPr>
                <w:rFonts w:cs="Arial"/>
                <w:b/>
                <w:szCs w:val="16"/>
              </w:rPr>
              <w:t>Bureau DPE1</w:t>
            </w:r>
          </w:p>
          <w:p w:rsidR="003B3811" w:rsidRPr="009F06C8" w:rsidRDefault="003B381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6A4ADA" w:rsidRPr="009F06C8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F06C8">
              <w:rPr>
                <w:rFonts w:cs="Arial"/>
                <w:szCs w:val="16"/>
              </w:rPr>
              <w:t>Affaire suivie par :</w:t>
            </w:r>
            <w:r w:rsidR="003B3811" w:rsidRPr="009F06C8">
              <w:rPr>
                <w:rFonts w:cs="Arial"/>
                <w:szCs w:val="16"/>
              </w:rPr>
              <w:t xml:space="preserve"> </w:t>
            </w:r>
          </w:p>
          <w:p w:rsidR="006A4ADA" w:rsidRPr="009F06C8" w:rsidRDefault="003B3811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F06C8">
              <w:rPr>
                <w:rFonts w:cs="Arial"/>
                <w:szCs w:val="16"/>
              </w:rPr>
              <w:t>Aurélie</w:t>
            </w:r>
            <w:r w:rsidR="006A4ADA" w:rsidRPr="009F06C8">
              <w:rPr>
                <w:rFonts w:cs="Arial"/>
                <w:szCs w:val="16"/>
              </w:rPr>
              <w:t xml:space="preserve"> </w:t>
            </w:r>
            <w:r w:rsidRPr="009F06C8">
              <w:rPr>
                <w:rFonts w:cs="Arial"/>
                <w:szCs w:val="16"/>
              </w:rPr>
              <w:t>FARGET</w:t>
            </w:r>
          </w:p>
          <w:p w:rsidR="006A4ADA" w:rsidRPr="009F06C8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F06C8">
              <w:rPr>
                <w:rFonts w:cs="Arial"/>
                <w:szCs w:val="16"/>
              </w:rPr>
              <w:t>Tél : 0</w:t>
            </w:r>
            <w:r w:rsidR="00B94F8F" w:rsidRPr="009F06C8">
              <w:rPr>
                <w:rFonts w:cs="Arial"/>
                <w:szCs w:val="16"/>
              </w:rPr>
              <w:t>4</w:t>
            </w:r>
            <w:r w:rsidRPr="009F06C8">
              <w:rPr>
                <w:rFonts w:cs="Arial"/>
                <w:szCs w:val="16"/>
              </w:rPr>
              <w:t xml:space="preserve"> </w:t>
            </w:r>
            <w:r w:rsidR="00B94F8F" w:rsidRPr="009F06C8">
              <w:rPr>
                <w:rFonts w:cs="Arial"/>
                <w:szCs w:val="16"/>
              </w:rPr>
              <w:t>73</w:t>
            </w:r>
            <w:r w:rsidRPr="009F06C8">
              <w:rPr>
                <w:rFonts w:cs="Arial"/>
                <w:szCs w:val="16"/>
              </w:rPr>
              <w:t xml:space="preserve"> </w:t>
            </w:r>
            <w:r w:rsidR="00B94F8F" w:rsidRPr="009F06C8">
              <w:rPr>
                <w:rFonts w:cs="Arial"/>
                <w:szCs w:val="16"/>
              </w:rPr>
              <w:t>99</w:t>
            </w:r>
            <w:r w:rsidRPr="009F06C8">
              <w:rPr>
                <w:rFonts w:cs="Arial"/>
                <w:szCs w:val="16"/>
              </w:rPr>
              <w:t xml:space="preserve"> </w:t>
            </w:r>
            <w:r w:rsidR="003B3811" w:rsidRPr="009F06C8">
              <w:rPr>
                <w:rFonts w:cs="Arial"/>
                <w:szCs w:val="16"/>
              </w:rPr>
              <w:t>32 23</w:t>
            </w:r>
            <w:r w:rsidRPr="009F06C8">
              <w:rPr>
                <w:rFonts w:cs="Arial"/>
                <w:szCs w:val="16"/>
              </w:rPr>
              <w:t xml:space="preserve"> </w:t>
            </w:r>
          </w:p>
          <w:p w:rsidR="006A4ADA" w:rsidRPr="009F06C8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F06C8">
              <w:rPr>
                <w:rFonts w:cs="Arial"/>
                <w:szCs w:val="16"/>
              </w:rPr>
              <w:t xml:space="preserve">Mél : </w:t>
            </w:r>
            <w:r w:rsidR="003B3811" w:rsidRPr="009F06C8">
              <w:rPr>
                <w:rFonts w:cs="Arial"/>
                <w:szCs w:val="16"/>
              </w:rPr>
              <w:t>ce.dpe</w:t>
            </w:r>
            <w:r w:rsidR="00B94F8F" w:rsidRPr="009F06C8">
              <w:rPr>
                <w:rFonts w:cs="Arial"/>
                <w:szCs w:val="16"/>
              </w:rPr>
              <w:t>@ac-clermont.fr</w:t>
            </w:r>
          </w:p>
          <w:p w:rsidR="006A4ADA" w:rsidRPr="009F06C8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6A4ADA" w:rsidRPr="009F06C8" w:rsidRDefault="007C5E99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F06C8">
              <w:rPr>
                <w:rFonts w:cs="Arial"/>
                <w:szCs w:val="16"/>
              </w:rPr>
              <w:t>3</w:t>
            </w:r>
            <w:r w:rsidR="00B94F8F" w:rsidRPr="009F06C8">
              <w:rPr>
                <w:rFonts w:cs="Arial"/>
                <w:szCs w:val="16"/>
              </w:rPr>
              <w:t xml:space="preserve"> </w:t>
            </w:r>
            <w:r w:rsidRPr="009F06C8">
              <w:rPr>
                <w:rFonts w:cs="Arial"/>
                <w:szCs w:val="16"/>
              </w:rPr>
              <w:t>avenue Vercingétorix</w:t>
            </w:r>
          </w:p>
          <w:p w:rsidR="006A4ADA" w:rsidRPr="009F06C8" w:rsidRDefault="007C5E99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F06C8">
              <w:rPr>
                <w:rFonts w:cs="Arial"/>
                <w:szCs w:val="16"/>
              </w:rPr>
              <w:t>63033 Clermont-Ferrand</w:t>
            </w:r>
            <w:r w:rsidR="006A4ADA" w:rsidRPr="009F06C8">
              <w:rPr>
                <w:rFonts w:cs="Arial"/>
                <w:szCs w:val="16"/>
              </w:rPr>
              <w:t xml:space="preserve"> </w:t>
            </w:r>
            <w:r w:rsidR="008347E0" w:rsidRPr="009F06C8">
              <w:rPr>
                <w:rFonts w:cs="Arial"/>
                <w:szCs w:val="16"/>
              </w:rPr>
              <w:t>Cedex</w:t>
            </w:r>
            <w:r w:rsidR="006A4ADA" w:rsidRPr="009F06C8">
              <w:rPr>
                <w:rFonts w:cs="Arial"/>
                <w:szCs w:val="16"/>
              </w:rPr>
              <w:t xml:space="preserve"> </w:t>
            </w:r>
            <w:r w:rsidRPr="009F06C8">
              <w:rPr>
                <w:rFonts w:cs="Arial"/>
                <w:szCs w:val="16"/>
              </w:rPr>
              <w:t>1</w:t>
            </w:r>
          </w:p>
          <w:p w:rsidR="00941377" w:rsidRPr="009F06C8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B94F8F" w:rsidP="003B3811">
            <w:pPr>
              <w:pStyle w:val="Corpsdetexte"/>
              <w:jc w:val="right"/>
            </w:pPr>
            <w:r w:rsidRPr="009F06C8">
              <w:t>Clermont-Ferrand</w:t>
            </w:r>
            <w:r w:rsidR="009C141C" w:rsidRPr="009F06C8">
              <w:t>,</w:t>
            </w:r>
            <w:r w:rsidR="00941377" w:rsidRPr="009F06C8">
              <w:t xml:space="preserve"> </w:t>
            </w:r>
            <w:r w:rsidR="00941377" w:rsidRPr="00BC059F">
              <w:t>le</w:t>
            </w:r>
            <w:r w:rsidR="00C33CE1" w:rsidRPr="00BC059F">
              <w:t xml:space="preserve"> </w:t>
            </w:r>
            <w:r w:rsidR="00BC059F">
              <w:t>18 mai 2022</w:t>
            </w:r>
          </w:p>
          <w:p w:rsidR="003110BD" w:rsidRDefault="003110BD" w:rsidP="003B3811">
            <w:pPr>
              <w:pStyle w:val="Corpsdetexte"/>
              <w:jc w:val="right"/>
            </w:pPr>
          </w:p>
          <w:p w:rsidR="003110BD" w:rsidRDefault="003110BD" w:rsidP="003B3811">
            <w:pPr>
              <w:pStyle w:val="Corpsdetexte"/>
              <w:jc w:val="right"/>
            </w:pPr>
          </w:p>
          <w:p w:rsidR="003110BD" w:rsidRDefault="003110BD" w:rsidP="003B3811">
            <w:pPr>
              <w:pStyle w:val="Corpsdetexte"/>
              <w:jc w:val="right"/>
            </w:pPr>
            <w:r>
              <w:t>Le Recteur</w:t>
            </w:r>
          </w:p>
          <w:p w:rsidR="003110BD" w:rsidRDefault="003110BD" w:rsidP="003B3811">
            <w:pPr>
              <w:pStyle w:val="Corpsdetexte"/>
              <w:jc w:val="right"/>
            </w:pPr>
          </w:p>
          <w:p w:rsidR="003110BD" w:rsidRDefault="003110BD" w:rsidP="003B3811">
            <w:pPr>
              <w:pStyle w:val="Corpsdetexte"/>
              <w:jc w:val="right"/>
            </w:pPr>
            <w:r>
              <w:t>A</w:t>
            </w:r>
          </w:p>
          <w:p w:rsidR="003110BD" w:rsidRDefault="003110BD" w:rsidP="003B3811">
            <w:pPr>
              <w:pStyle w:val="Corpsdetexte"/>
              <w:jc w:val="right"/>
            </w:pPr>
          </w:p>
          <w:p w:rsidR="003110BD" w:rsidRDefault="000B2DFE" w:rsidP="003B3811">
            <w:pPr>
              <w:pStyle w:val="Corpsdetexte"/>
              <w:jc w:val="right"/>
            </w:pPr>
            <w:r>
              <w:t>Mesdames et Messieurs les chefs d’établissement</w:t>
            </w:r>
          </w:p>
          <w:p w:rsidR="000B2DFE" w:rsidRDefault="000B2DFE" w:rsidP="003B3811">
            <w:pPr>
              <w:pStyle w:val="Corpsdetexte"/>
              <w:jc w:val="right"/>
            </w:pPr>
            <w:proofErr w:type="gramStart"/>
            <w:r>
              <w:t>s</w:t>
            </w:r>
            <w:proofErr w:type="gramEnd"/>
            <w:r>
              <w:t>/c de Mesdames et Monsieur des IA-DASEN</w:t>
            </w:r>
          </w:p>
          <w:p w:rsidR="000B2DFE" w:rsidRDefault="000B2DFE" w:rsidP="003B3811">
            <w:pPr>
              <w:pStyle w:val="Corpsdetexte"/>
              <w:jc w:val="right"/>
            </w:pPr>
          </w:p>
          <w:p w:rsidR="00F56C3B" w:rsidRPr="009F06C8" w:rsidRDefault="00F56C3B" w:rsidP="00A63044">
            <w:pPr>
              <w:pStyle w:val="Corpsdetexte"/>
              <w:jc w:val="right"/>
            </w:pPr>
          </w:p>
        </w:tc>
      </w:tr>
    </w:tbl>
    <w:p w:rsidR="00941377" w:rsidRPr="009F06C8" w:rsidRDefault="00941377" w:rsidP="00B55B58">
      <w:pPr>
        <w:pStyle w:val="Corpsdetexte"/>
      </w:pPr>
    </w:p>
    <w:p w:rsidR="003240AC" w:rsidRPr="009F06C8" w:rsidRDefault="003240AC" w:rsidP="00B55B58">
      <w:pPr>
        <w:pStyle w:val="Corpsdetexte"/>
        <w:sectPr w:rsidR="003240AC" w:rsidRPr="009F06C8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3065B9" w:rsidRDefault="003110BD" w:rsidP="00F56C3B">
      <w:pPr>
        <w:pStyle w:val="Corpsdetexte"/>
      </w:pPr>
      <w:r>
        <w:t xml:space="preserve">Objet : </w:t>
      </w:r>
      <w:r w:rsidR="000B2DFE">
        <w:rPr>
          <w:b/>
        </w:rPr>
        <w:t>Lauréats des concours de recrutement des personnels enseignants et d’éducation de l’enseignement public et étudiants contractuels alternants</w:t>
      </w:r>
    </w:p>
    <w:p w:rsidR="000B2DFE" w:rsidRDefault="000B2DFE" w:rsidP="00F56C3B">
      <w:pPr>
        <w:pStyle w:val="Corpsdetexte"/>
      </w:pPr>
    </w:p>
    <w:p w:rsidR="003110BD" w:rsidRDefault="009260F1" w:rsidP="00F56C3B">
      <w:pPr>
        <w:pStyle w:val="Corpsdetexte"/>
      </w:pPr>
      <w:r>
        <w:t>Référence</w:t>
      </w:r>
      <w:r w:rsidR="000B2DFE">
        <w:t>s</w:t>
      </w:r>
      <w:r>
        <w:t xml:space="preserve"> : </w:t>
      </w:r>
    </w:p>
    <w:p w:rsidR="000B2DFE" w:rsidRDefault="000B2DFE" w:rsidP="000B2DFE">
      <w:pPr>
        <w:pStyle w:val="Corpsdetexte"/>
        <w:numPr>
          <w:ilvl w:val="0"/>
          <w:numId w:val="16"/>
        </w:numPr>
      </w:pPr>
      <w:r>
        <w:t>Décret n°2013-768 du 23 août 2013 relatif au recrutement et à la formation initiale de certains personnels enseignants, d’éducation et d’orientation relevant du ministre de l’éducation nationale,</w:t>
      </w:r>
    </w:p>
    <w:p w:rsidR="00A12C91" w:rsidRPr="00BC059F" w:rsidRDefault="00A12C91" w:rsidP="00A12C91">
      <w:pPr>
        <w:pStyle w:val="Corpsdetexte"/>
        <w:numPr>
          <w:ilvl w:val="0"/>
          <w:numId w:val="16"/>
        </w:numPr>
      </w:pPr>
      <w:r w:rsidRPr="00BC059F">
        <w:t>Circulaire n°2014-080 du 17 juin 2014</w:t>
      </w:r>
    </w:p>
    <w:p w:rsidR="00D9554D" w:rsidRPr="00BC059F" w:rsidRDefault="00A12C91" w:rsidP="00A12C91">
      <w:pPr>
        <w:pStyle w:val="Corpsdetexte"/>
        <w:numPr>
          <w:ilvl w:val="0"/>
          <w:numId w:val="16"/>
        </w:numPr>
      </w:pPr>
      <w:r w:rsidRPr="00BC059F">
        <w:t>Note de service n°2015-055 du 17 mars 2015</w:t>
      </w:r>
    </w:p>
    <w:p w:rsidR="00A12C91" w:rsidRPr="00BC059F" w:rsidRDefault="00A12C91" w:rsidP="00A12C91">
      <w:pPr>
        <w:pStyle w:val="Corpsdetexte"/>
        <w:numPr>
          <w:ilvl w:val="0"/>
          <w:numId w:val="16"/>
        </w:numPr>
      </w:pPr>
      <w:r w:rsidRPr="00BC059F">
        <w:t>Note de service n°2016-070 du 26 avril 2016</w:t>
      </w:r>
    </w:p>
    <w:p w:rsidR="00875041" w:rsidRPr="00BC059F" w:rsidRDefault="00B86F0D" w:rsidP="00A12C91">
      <w:pPr>
        <w:pStyle w:val="Corpsdetexte"/>
        <w:numPr>
          <w:ilvl w:val="0"/>
          <w:numId w:val="16"/>
        </w:numPr>
      </w:pPr>
      <w:r w:rsidRPr="00BC059F">
        <w:t>Note de service du 27 novembre 2020 relative aux professeurs et CPE contractuels alternants inscrits en master MEEF</w:t>
      </w:r>
    </w:p>
    <w:p w:rsidR="00BC059F" w:rsidRPr="00BC059F" w:rsidRDefault="00BC059F" w:rsidP="00A12C91">
      <w:pPr>
        <w:pStyle w:val="Corpsdetexte"/>
        <w:numPr>
          <w:ilvl w:val="0"/>
          <w:numId w:val="16"/>
        </w:numPr>
      </w:pPr>
      <w:r w:rsidRPr="00BC059F">
        <w:t>Note de service du 7 avril 2022 – affectation en qualité de fonctionnaire stagiaire des lauréats des concours du second degré – rentrée de septembre 2022</w:t>
      </w:r>
    </w:p>
    <w:p w:rsidR="00A12C91" w:rsidRDefault="00A12C91" w:rsidP="00F56C3B">
      <w:pPr>
        <w:pStyle w:val="Corpsdetexte"/>
      </w:pPr>
    </w:p>
    <w:p w:rsidR="00A12C91" w:rsidRDefault="00A12C91" w:rsidP="00F56C3B">
      <w:pPr>
        <w:pStyle w:val="Corpsdetexte"/>
      </w:pPr>
    </w:p>
    <w:p w:rsidR="00A12C91" w:rsidRPr="00A12C91" w:rsidRDefault="00A12C91" w:rsidP="00A12C91">
      <w:pPr>
        <w:tabs>
          <w:tab w:val="left" w:pos="3828"/>
        </w:tabs>
        <w:jc w:val="both"/>
        <w:rPr>
          <w:sz w:val="20"/>
          <w:lang w:val="fr-FR"/>
        </w:rPr>
      </w:pPr>
      <w:r w:rsidRPr="00A12C91">
        <w:rPr>
          <w:sz w:val="20"/>
        </w:rPr>
        <w:t>La</w:t>
      </w:r>
      <w:r w:rsidRPr="00A12C91">
        <w:rPr>
          <w:sz w:val="20"/>
          <w:lang w:val="fr-FR"/>
        </w:rPr>
        <w:t xml:space="preserve"> présente</w:t>
      </w:r>
      <w:r w:rsidRPr="00A12C91">
        <w:rPr>
          <w:sz w:val="20"/>
        </w:rPr>
        <w:t xml:space="preserve"> note a pour objet de </w:t>
      </w:r>
      <w:r w:rsidRPr="00A12C91">
        <w:rPr>
          <w:sz w:val="20"/>
          <w:lang w:val="fr-FR"/>
        </w:rPr>
        <w:t xml:space="preserve">préciser les modalités d’affectation </w:t>
      </w:r>
      <w:proofErr w:type="gramStart"/>
      <w:r w:rsidRPr="00A12C91">
        <w:rPr>
          <w:sz w:val="20"/>
          <w:lang w:val="fr-FR"/>
        </w:rPr>
        <w:t>et</w:t>
      </w:r>
      <w:proofErr w:type="gramEnd"/>
      <w:r w:rsidRPr="00A12C91">
        <w:rPr>
          <w:sz w:val="20"/>
          <w:lang w:val="fr-FR"/>
        </w:rPr>
        <w:t xml:space="preserve"> d’organisation de stage des enseignants</w:t>
      </w:r>
      <w:r w:rsidRPr="00A12C91">
        <w:rPr>
          <w:sz w:val="20"/>
        </w:rPr>
        <w:t xml:space="preserve"> </w:t>
      </w:r>
      <w:r w:rsidRPr="00A12C91">
        <w:rPr>
          <w:sz w:val="20"/>
          <w:lang w:val="fr-FR"/>
        </w:rPr>
        <w:t>du second degré et des personnels d’éducation stagiaires</w:t>
      </w:r>
      <w:r>
        <w:rPr>
          <w:sz w:val="20"/>
          <w:lang w:val="fr-FR"/>
        </w:rPr>
        <w:t>, ainsi que les modalités d’affectation des contractuels alternants</w:t>
      </w:r>
      <w:r w:rsidRPr="00A12C91">
        <w:rPr>
          <w:sz w:val="20"/>
          <w:lang w:val="fr-FR"/>
        </w:rPr>
        <w:t>.</w:t>
      </w:r>
    </w:p>
    <w:p w:rsidR="00A12C91" w:rsidRPr="00A12C91" w:rsidRDefault="00A12C91" w:rsidP="00A12C91">
      <w:pPr>
        <w:tabs>
          <w:tab w:val="left" w:pos="3828"/>
        </w:tabs>
        <w:jc w:val="both"/>
        <w:rPr>
          <w:sz w:val="20"/>
          <w:lang w:val="fr-FR"/>
        </w:rPr>
      </w:pPr>
    </w:p>
    <w:p w:rsidR="00A12C91" w:rsidRDefault="00A12C91" w:rsidP="00A12C91">
      <w:pPr>
        <w:tabs>
          <w:tab w:val="left" w:pos="3828"/>
        </w:tabs>
        <w:jc w:val="both"/>
        <w:rPr>
          <w:sz w:val="20"/>
          <w:lang w:val="fr-FR"/>
        </w:rPr>
      </w:pPr>
    </w:p>
    <w:p w:rsidR="00A12C91" w:rsidRPr="00875041" w:rsidRDefault="00A12C91" w:rsidP="00A12C91">
      <w:pPr>
        <w:pStyle w:val="Paragraphedeliste"/>
        <w:numPr>
          <w:ilvl w:val="0"/>
          <w:numId w:val="17"/>
        </w:numPr>
        <w:tabs>
          <w:tab w:val="left" w:pos="3828"/>
        </w:tabs>
        <w:jc w:val="both"/>
        <w:rPr>
          <w:b/>
          <w:sz w:val="20"/>
          <w:lang w:val="fr-FR"/>
        </w:rPr>
      </w:pPr>
      <w:r w:rsidRPr="00875041">
        <w:rPr>
          <w:b/>
          <w:sz w:val="20"/>
          <w:lang w:val="fr-FR"/>
        </w:rPr>
        <w:t>Les lauréats de concours</w:t>
      </w:r>
    </w:p>
    <w:p w:rsidR="00A12C91" w:rsidRPr="00A12C91" w:rsidRDefault="00A12C91" w:rsidP="00A12C91">
      <w:pPr>
        <w:tabs>
          <w:tab w:val="left" w:pos="3828"/>
        </w:tabs>
        <w:jc w:val="both"/>
        <w:rPr>
          <w:b/>
          <w:sz w:val="20"/>
          <w:lang w:val="fr-FR"/>
        </w:rPr>
      </w:pPr>
    </w:p>
    <w:p w:rsidR="00A12C91" w:rsidRPr="008513E8" w:rsidRDefault="00A12C91" w:rsidP="00A12C91">
      <w:pPr>
        <w:jc w:val="both"/>
        <w:rPr>
          <w:sz w:val="20"/>
          <w:lang w:val="fr-FR"/>
        </w:rPr>
      </w:pPr>
      <w:r w:rsidRPr="00A12C91">
        <w:rPr>
          <w:sz w:val="20"/>
          <w:lang w:val="fr-FR"/>
        </w:rPr>
        <w:t>Les lauréats des concours de recrutement des personnels enseignants et d’éducation seront affectés en qualité de fonctionnaires stagiaires au 1</w:t>
      </w:r>
      <w:r w:rsidRPr="00A12C91">
        <w:rPr>
          <w:sz w:val="20"/>
          <w:vertAlign w:val="superscript"/>
          <w:lang w:val="fr-FR"/>
        </w:rPr>
        <w:t>er</w:t>
      </w:r>
      <w:r w:rsidRPr="00A12C91">
        <w:rPr>
          <w:sz w:val="20"/>
          <w:lang w:val="fr-FR"/>
        </w:rPr>
        <w:t xml:space="preserve"> </w:t>
      </w:r>
      <w:r w:rsidRPr="008513E8">
        <w:rPr>
          <w:sz w:val="20"/>
          <w:lang w:val="fr-FR"/>
        </w:rPr>
        <w:t>septembre 202</w:t>
      </w:r>
      <w:r w:rsidR="008513E8" w:rsidRPr="008513E8">
        <w:rPr>
          <w:sz w:val="20"/>
          <w:lang w:val="fr-FR"/>
        </w:rPr>
        <w:t>2</w:t>
      </w:r>
      <w:r w:rsidRPr="008513E8">
        <w:rPr>
          <w:sz w:val="20"/>
          <w:lang w:val="fr-FR"/>
        </w:rPr>
        <w:t>. Ils seront invités à la journée de pré-rentrée.</w:t>
      </w:r>
    </w:p>
    <w:p w:rsidR="00A12C91" w:rsidRPr="008513E8" w:rsidRDefault="00A12C91" w:rsidP="00A12C91">
      <w:pPr>
        <w:tabs>
          <w:tab w:val="left" w:pos="3828"/>
        </w:tabs>
        <w:jc w:val="both"/>
        <w:rPr>
          <w:b/>
          <w:sz w:val="20"/>
          <w:lang w:val="fr-FR"/>
        </w:rPr>
      </w:pPr>
    </w:p>
    <w:p w:rsidR="00A12C91" w:rsidRPr="008513E8" w:rsidRDefault="00A12C91" w:rsidP="00A12C91">
      <w:pPr>
        <w:tabs>
          <w:tab w:val="left" w:pos="3828"/>
        </w:tabs>
        <w:jc w:val="both"/>
        <w:rPr>
          <w:sz w:val="20"/>
          <w:lang w:val="fr-FR"/>
        </w:rPr>
      </w:pPr>
      <w:r w:rsidRPr="008513E8">
        <w:rPr>
          <w:sz w:val="20"/>
          <w:lang w:val="fr-FR"/>
        </w:rPr>
        <w:t xml:space="preserve">Les supports sont implantés en fonction du nombre de stagiaires prévisionnel communiqué à ce jour par le ministère ; toutefois, des ajustements peuvent intervenir d’ici la rentrée. </w:t>
      </w:r>
    </w:p>
    <w:p w:rsidR="00A12C91" w:rsidRPr="00A12C91" w:rsidRDefault="00A12C91" w:rsidP="00A12C91">
      <w:pPr>
        <w:tabs>
          <w:tab w:val="left" w:pos="3828"/>
        </w:tabs>
        <w:jc w:val="both"/>
        <w:rPr>
          <w:sz w:val="20"/>
          <w:lang w:val="fr-FR"/>
        </w:rPr>
      </w:pPr>
      <w:r w:rsidRPr="008513E8">
        <w:rPr>
          <w:sz w:val="20"/>
          <w:lang w:val="fr-FR"/>
        </w:rPr>
        <w:t>Les affectations seront notifiées aux stagiaires autour du 1</w:t>
      </w:r>
      <w:r w:rsidR="008513E8" w:rsidRPr="008513E8">
        <w:rPr>
          <w:sz w:val="20"/>
          <w:lang w:val="fr-FR"/>
        </w:rPr>
        <w:t>3</w:t>
      </w:r>
      <w:r w:rsidRPr="008513E8">
        <w:rPr>
          <w:sz w:val="20"/>
          <w:lang w:val="fr-FR"/>
        </w:rPr>
        <w:t xml:space="preserve"> juillet 202</w:t>
      </w:r>
      <w:r w:rsidR="008513E8" w:rsidRPr="008513E8">
        <w:rPr>
          <w:sz w:val="20"/>
          <w:lang w:val="fr-FR"/>
        </w:rPr>
        <w:t>2</w:t>
      </w:r>
      <w:r w:rsidRPr="008513E8">
        <w:rPr>
          <w:sz w:val="20"/>
          <w:lang w:val="fr-FR"/>
        </w:rPr>
        <w:t>, en fonction du calendrier ministériel non publié à ce jour.</w:t>
      </w:r>
    </w:p>
    <w:p w:rsidR="00A12C91" w:rsidRPr="00A12C91" w:rsidRDefault="00A12C91" w:rsidP="00A12C91">
      <w:pPr>
        <w:tabs>
          <w:tab w:val="left" w:pos="3828"/>
        </w:tabs>
        <w:jc w:val="both"/>
        <w:rPr>
          <w:sz w:val="20"/>
          <w:lang w:val="fr-FR"/>
        </w:rPr>
      </w:pPr>
    </w:p>
    <w:p w:rsidR="00A12C91" w:rsidRPr="00A12C91" w:rsidRDefault="00A12C91" w:rsidP="00A12C91">
      <w:pPr>
        <w:jc w:val="both"/>
        <w:rPr>
          <w:sz w:val="20"/>
          <w:lang w:val="fr-FR"/>
        </w:rPr>
      </w:pPr>
      <w:r w:rsidRPr="00A12C91">
        <w:rPr>
          <w:sz w:val="20"/>
          <w:lang w:val="fr-FR"/>
        </w:rPr>
        <w:t>Les modalités d’affectation, quotité de service ainsi que les modalités de formation sont décrites dans le tableau joint en annexe.</w:t>
      </w:r>
    </w:p>
    <w:p w:rsidR="00A12C91" w:rsidRPr="00A12C91" w:rsidRDefault="00A12C91" w:rsidP="00A12C91">
      <w:pPr>
        <w:rPr>
          <w:sz w:val="20"/>
          <w:lang w:val="fr-FR"/>
        </w:rPr>
      </w:pPr>
    </w:p>
    <w:p w:rsidR="00A12C91" w:rsidRPr="00A12C91" w:rsidRDefault="00A12C91" w:rsidP="00A12C91">
      <w:pPr>
        <w:rPr>
          <w:sz w:val="20"/>
          <w:lang w:val="fr-FR"/>
        </w:rPr>
      </w:pPr>
      <w:r w:rsidRPr="00A12C91">
        <w:rPr>
          <w:sz w:val="20"/>
          <w:lang w:val="fr-FR"/>
        </w:rPr>
        <w:t>J’attire votre attention sur le fait que les stagiaires ne peuvent pas se voir confier d’heures supplémentaires (</w:t>
      </w:r>
      <w:r w:rsidRPr="00A12C91">
        <w:rPr>
          <w:b/>
          <w:sz w:val="20"/>
          <w:lang w:val="fr-FR"/>
        </w:rPr>
        <w:t>ni HSA, ni HSE</w:t>
      </w:r>
      <w:r w:rsidRPr="00A12C91">
        <w:rPr>
          <w:sz w:val="20"/>
          <w:lang w:val="fr-FR"/>
        </w:rPr>
        <w:t>).</w:t>
      </w:r>
    </w:p>
    <w:p w:rsidR="00A12C91" w:rsidRPr="00A12C91" w:rsidRDefault="00A12C91" w:rsidP="00A12C91">
      <w:pPr>
        <w:rPr>
          <w:sz w:val="20"/>
          <w:lang w:val="fr-FR"/>
        </w:rPr>
      </w:pPr>
    </w:p>
    <w:p w:rsidR="00A12C91" w:rsidRPr="00A12C91" w:rsidRDefault="00A12C91" w:rsidP="00A12C91">
      <w:pPr>
        <w:contextualSpacing/>
        <w:jc w:val="both"/>
        <w:rPr>
          <w:sz w:val="20"/>
          <w:lang w:val="fr-FR"/>
        </w:rPr>
      </w:pPr>
      <w:r w:rsidRPr="00A12C91">
        <w:rPr>
          <w:sz w:val="20"/>
          <w:lang w:val="fr-FR"/>
        </w:rPr>
        <w:t xml:space="preserve">Chaque stagiaire sera accompagné d’un tuteur scolaire (un tuteur universitaire sera en outre désigné pour ceux qui </w:t>
      </w:r>
      <w:r w:rsidR="00DC602E">
        <w:rPr>
          <w:sz w:val="20"/>
          <w:lang w:val="fr-FR"/>
        </w:rPr>
        <w:t>effectuent un demi-service</w:t>
      </w:r>
      <w:r w:rsidRPr="00A12C91">
        <w:rPr>
          <w:sz w:val="20"/>
          <w:lang w:val="fr-FR"/>
        </w:rPr>
        <w:t>).</w:t>
      </w:r>
      <w:r w:rsidR="00D816DF">
        <w:rPr>
          <w:sz w:val="20"/>
          <w:lang w:val="fr-FR"/>
        </w:rPr>
        <w:t xml:space="preserve"> </w:t>
      </w:r>
      <w:r w:rsidRPr="00A12C91">
        <w:rPr>
          <w:sz w:val="20"/>
          <w:lang w:val="fr-FR"/>
        </w:rPr>
        <w:t>Les tuteurs percevront une rémunération spécifique de 1250 € par stagiaire.</w:t>
      </w:r>
    </w:p>
    <w:p w:rsidR="00A12C91" w:rsidRPr="00A12C91" w:rsidRDefault="00A12C91" w:rsidP="00A12C91">
      <w:pPr>
        <w:jc w:val="both"/>
        <w:rPr>
          <w:sz w:val="20"/>
          <w:lang w:val="fr-FR"/>
        </w:rPr>
      </w:pPr>
    </w:p>
    <w:p w:rsidR="00A12C91" w:rsidRPr="00A12C91" w:rsidRDefault="00A12C91" w:rsidP="00A12C91">
      <w:pPr>
        <w:jc w:val="both"/>
        <w:rPr>
          <w:sz w:val="20"/>
          <w:lang w:val="fr-FR"/>
        </w:rPr>
      </w:pPr>
      <w:r w:rsidRPr="00A12C91">
        <w:rPr>
          <w:sz w:val="20"/>
          <w:lang w:val="fr-FR"/>
        </w:rPr>
        <w:t>De plus, une procédure particulière d’alerte et d’accompagnement est mise en place pour les stagiaires qui rencontreront des difficultés.</w:t>
      </w:r>
    </w:p>
    <w:p w:rsidR="00A12C91" w:rsidRPr="00A12C91" w:rsidRDefault="00A12C91" w:rsidP="00A12C91">
      <w:pPr>
        <w:contextualSpacing/>
        <w:jc w:val="both"/>
        <w:rPr>
          <w:sz w:val="20"/>
          <w:lang w:val="fr-FR"/>
        </w:rPr>
      </w:pPr>
    </w:p>
    <w:p w:rsidR="00A12C91" w:rsidRPr="00A12C91" w:rsidRDefault="00A12C91" w:rsidP="00A12C91">
      <w:pPr>
        <w:contextualSpacing/>
        <w:jc w:val="both"/>
        <w:rPr>
          <w:sz w:val="20"/>
          <w:lang w:val="fr-FR"/>
        </w:rPr>
      </w:pPr>
    </w:p>
    <w:p w:rsidR="00A12C91" w:rsidRPr="00B86F0D" w:rsidRDefault="00B86F0D" w:rsidP="00875041">
      <w:pPr>
        <w:pStyle w:val="Paragraphedeliste"/>
        <w:numPr>
          <w:ilvl w:val="0"/>
          <w:numId w:val="17"/>
        </w:numPr>
        <w:contextualSpacing/>
        <w:jc w:val="both"/>
        <w:rPr>
          <w:b/>
          <w:sz w:val="20"/>
          <w:lang w:val="fr-FR"/>
        </w:rPr>
      </w:pPr>
      <w:r w:rsidRPr="00B86F0D">
        <w:rPr>
          <w:b/>
          <w:sz w:val="20"/>
          <w:lang w:val="fr-FR"/>
        </w:rPr>
        <w:t>Les c</w:t>
      </w:r>
      <w:r w:rsidR="00875041" w:rsidRPr="00B86F0D">
        <w:rPr>
          <w:b/>
          <w:sz w:val="20"/>
          <w:lang w:val="fr-FR"/>
        </w:rPr>
        <w:t>ontractuels alternants</w:t>
      </w:r>
    </w:p>
    <w:p w:rsidR="00A12C91" w:rsidRDefault="00A12C91" w:rsidP="00A12C91">
      <w:pPr>
        <w:contextualSpacing/>
        <w:jc w:val="both"/>
        <w:rPr>
          <w:sz w:val="20"/>
          <w:lang w:val="fr-FR"/>
        </w:rPr>
      </w:pPr>
    </w:p>
    <w:p w:rsidR="00D816DF" w:rsidRDefault="00D816DF" w:rsidP="00A12C91">
      <w:pPr>
        <w:jc w:val="both"/>
        <w:rPr>
          <w:sz w:val="20"/>
          <w:lang w:val="fr-FR"/>
        </w:rPr>
      </w:pPr>
      <w:r w:rsidRPr="00D816DF">
        <w:rPr>
          <w:sz w:val="20"/>
          <w:lang w:val="fr-FR"/>
        </w:rPr>
        <w:t xml:space="preserve">À compter de la session 2022, les candidats aux concours externes d'accès aux corps enseignants et d'éducation </w:t>
      </w:r>
      <w:r w:rsidR="008513E8">
        <w:rPr>
          <w:sz w:val="20"/>
          <w:lang w:val="fr-FR"/>
        </w:rPr>
        <w:t>doivent</w:t>
      </w:r>
      <w:r w:rsidRPr="00D816DF">
        <w:rPr>
          <w:sz w:val="20"/>
          <w:lang w:val="fr-FR"/>
        </w:rPr>
        <w:t xml:space="preserve"> être inscrits en deuxième année de master ou détenir un master. À leur nomination comme stagiaire dans les corps concernés, ils devront détenir </w:t>
      </w:r>
      <w:r>
        <w:rPr>
          <w:sz w:val="20"/>
          <w:lang w:val="fr-FR"/>
        </w:rPr>
        <w:t>ce diplôme</w:t>
      </w:r>
      <w:r w:rsidRPr="00D816DF">
        <w:rPr>
          <w:sz w:val="20"/>
          <w:lang w:val="fr-FR"/>
        </w:rPr>
        <w:t>.</w:t>
      </w:r>
    </w:p>
    <w:p w:rsidR="00D816DF" w:rsidRDefault="00D816DF" w:rsidP="00A12C91">
      <w:pPr>
        <w:contextualSpacing/>
        <w:jc w:val="both"/>
        <w:rPr>
          <w:sz w:val="20"/>
          <w:lang w:val="fr-FR"/>
        </w:rPr>
      </w:pPr>
    </w:p>
    <w:p w:rsidR="00B86F0D" w:rsidRPr="00B86F0D" w:rsidRDefault="00D816DF" w:rsidP="00D816DF">
      <w:pPr>
        <w:jc w:val="both"/>
        <w:rPr>
          <w:sz w:val="20"/>
          <w:lang w:val="fr-FR"/>
        </w:rPr>
      </w:pPr>
      <w:r>
        <w:rPr>
          <w:sz w:val="20"/>
          <w:lang w:val="fr-FR"/>
        </w:rPr>
        <w:t>C</w:t>
      </w:r>
      <w:r w:rsidR="00B86F0D" w:rsidRPr="00B86F0D">
        <w:rPr>
          <w:sz w:val="20"/>
          <w:lang w:val="fr-FR"/>
        </w:rPr>
        <w:t xml:space="preserve">e changement de la place des concours externes valorise la dimension professionnelle du concours, au terme d'un master dont la dimension </w:t>
      </w:r>
      <w:proofErr w:type="spellStart"/>
      <w:r w:rsidR="00B86F0D" w:rsidRPr="00B86F0D">
        <w:rPr>
          <w:sz w:val="20"/>
          <w:lang w:val="fr-FR"/>
        </w:rPr>
        <w:t>professionnalisante</w:t>
      </w:r>
      <w:proofErr w:type="spellEnd"/>
      <w:r w:rsidR="00B86F0D" w:rsidRPr="00B86F0D">
        <w:rPr>
          <w:sz w:val="20"/>
          <w:lang w:val="fr-FR"/>
        </w:rPr>
        <w:t xml:space="preserve"> est elle-même renforcée.</w:t>
      </w:r>
    </w:p>
    <w:p w:rsidR="00B86F0D" w:rsidRPr="00B86F0D" w:rsidRDefault="00B86F0D" w:rsidP="00D816DF">
      <w:pPr>
        <w:jc w:val="both"/>
        <w:rPr>
          <w:sz w:val="20"/>
          <w:lang w:val="fr-FR"/>
        </w:rPr>
      </w:pPr>
      <w:r w:rsidRPr="00B86F0D">
        <w:rPr>
          <w:sz w:val="20"/>
          <w:lang w:val="fr-FR"/>
        </w:rPr>
        <w:t xml:space="preserve">La mise en place d'un parcours en alternance prenant la forme d'un contrat de travail au cours du master </w:t>
      </w:r>
      <w:r w:rsidR="00DC602E">
        <w:rPr>
          <w:sz w:val="20"/>
          <w:lang w:val="fr-FR"/>
        </w:rPr>
        <w:t>MEEF</w:t>
      </w:r>
      <w:r w:rsidRPr="00B86F0D">
        <w:rPr>
          <w:sz w:val="20"/>
          <w:lang w:val="fr-FR"/>
        </w:rPr>
        <w:t>, tel que prévu par l'arrêté du 27 août 2013 susvisé, s'inscrit dans cette logique.</w:t>
      </w:r>
    </w:p>
    <w:p w:rsidR="00B86F0D" w:rsidRDefault="00B86F0D" w:rsidP="00A12C91">
      <w:pPr>
        <w:contextualSpacing/>
        <w:jc w:val="both"/>
        <w:rPr>
          <w:sz w:val="20"/>
          <w:lang w:val="fr-FR"/>
        </w:rPr>
      </w:pPr>
    </w:p>
    <w:p w:rsidR="00B86F0D" w:rsidRPr="00B86F0D" w:rsidRDefault="00B86F0D" w:rsidP="00B86F0D">
      <w:pPr>
        <w:jc w:val="both"/>
        <w:rPr>
          <w:sz w:val="20"/>
          <w:lang w:val="fr-FR"/>
        </w:rPr>
      </w:pPr>
      <w:r w:rsidRPr="00B86F0D">
        <w:rPr>
          <w:sz w:val="20"/>
          <w:lang w:val="fr-FR"/>
        </w:rPr>
        <w:t xml:space="preserve">Un alternant est </w:t>
      </w:r>
      <w:r w:rsidR="00D816DF">
        <w:rPr>
          <w:sz w:val="20"/>
          <w:lang w:val="fr-FR"/>
        </w:rPr>
        <w:t xml:space="preserve">donc </w:t>
      </w:r>
      <w:r w:rsidRPr="00B86F0D">
        <w:rPr>
          <w:sz w:val="20"/>
          <w:lang w:val="fr-FR"/>
        </w:rPr>
        <w:t>un étudiant qui bénéficie d’un contrat de travail de droit public.</w:t>
      </w:r>
      <w:r>
        <w:rPr>
          <w:sz w:val="20"/>
          <w:lang w:val="fr-FR"/>
        </w:rPr>
        <w:t xml:space="preserve"> </w:t>
      </w:r>
      <w:r w:rsidRPr="00B86F0D">
        <w:rPr>
          <w:sz w:val="20"/>
          <w:lang w:val="fr-FR"/>
        </w:rPr>
        <w:t>Il effectue l’équivalent d’un tiers-temps par rapport aux obligations de service d’un professeur</w:t>
      </w:r>
      <w:r>
        <w:rPr>
          <w:sz w:val="20"/>
          <w:lang w:val="fr-FR"/>
        </w:rPr>
        <w:t xml:space="preserve"> </w:t>
      </w:r>
      <w:r w:rsidRPr="00B86F0D">
        <w:rPr>
          <w:sz w:val="20"/>
          <w:lang w:val="fr-FR"/>
        </w:rPr>
        <w:t xml:space="preserve">ou d’un CPE. Le temps de service de l’alternant est programmé </w:t>
      </w:r>
      <w:r>
        <w:rPr>
          <w:sz w:val="20"/>
          <w:lang w:val="fr-FR"/>
        </w:rPr>
        <w:t>en 2</w:t>
      </w:r>
      <w:r w:rsidRPr="00B86F0D">
        <w:rPr>
          <w:sz w:val="20"/>
          <w:vertAlign w:val="superscript"/>
          <w:lang w:val="fr-FR"/>
        </w:rPr>
        <w:t>e</w:t>
      </w:r>
      <w:r>
        <w:rPr>
          <w:sz w:val="20"/>
          <w:lang w:val="fr-FR"/>
        </w:rPr>
        <w:t xml:space="preserve"> année de</w:t>
      </w:r>
      <w:r w:rsidRPr="00B86F0D">
        <w:rPr>
          <w:sz w:val="20"/>
          <w:lang w:val="fr-FR"/>
        </w:rPr>
        <w:t xml:space="preserve"> master.</w:t>
      </w:r>
    </w:p>
    <w:p w:rsidR="00A12C91" w:rsidRDefault="00B86F0D" w:rsidP="00B86F0D">
      <w:pPr>
        <w:jc w:val="both"/>
        <w:rPr>
          <w:sz w:val="20"/>
          <w:lang w:val="fr-FR"/>
        </w:rPr>
      </w:pPr>
      <w:r w:rsidRPr="00B86F0D">
        <w:rPr>
          <w:sz w:val="20"/>
          <w:lang w:val="fr-FR"/>
        </w:rPr>
        <w:t>Il s’organise de manière filée sur l’ensemble de l’année scolaire</w:t>
      </w:r>
      <w:r>
        <w:rPr>
          <w:sz w:val="20"/>
          <w:lang w:val="fr-FR"/>
        </w:rPr>
        <w:t xml:space="preserve">, </w:t>
      </w:r>
      <w:r w:rsidRPr="00B86F0D">
        <w:rPr>
          <w:sz w:val="20"/>
          <w:lang w:val="fr-FR"/>
        </w:rPr>
        <w:t>dans un même</w:t>
      </w:r>
      <w:r>
        <w:rPr>
          <w:sz w:val="20"/>
          <w:lang w:val="fr-FR"/>
        </w:rPr>
        <w:t xml:space="preserve"> </w:t>
      </w:r>
      <w:r w:rsidRPr="00B86F0D">
        <w:rPr>
          <w:sz w:val="20"/>
          <w:lang w:val="fr-FR"/>
        </w:rPr>
        <w:t>établissement, pour un volume qui varie selon les fonctions</w:t>
      </w:r>
      <w:r>
        <w:rPr>
          <w:sz w:val="20"/>
          <w:lang w:val="fr-FR"/>
        </w:rPr>
        <w:t xml:space="preserve"> et qui est détaillé en annexe.</w:t>
      </w:r>
    </w:p>
    <w:p w:rsidR="00B86F0D" w:rsidRPr="00B86F0D" w:rsidRDefault="00B86F0D" w:rsidP="00B86F0D">
      <w:pPr>
        <w:jc w:val="both"/>
        <w:rPr>
          <w:sz w:val="20"/>
          <w:lang w:val="fr-FR"/>
        </w:rPr>
      </w:pPr>
      <w:r w:rsidRPr="00B86F0D">
        <w:rPr>
          <w:sz w:val="20"/>
          <w:lang w:val="fr-FR"/>
        </w:rPr>
        <w:t xml:space="preserve">Dans la mesure du possible, cet établissement </w:t>
      </w:r>
      <w:r>
        <w:rPr>
          <w:sz w:val="20"/>
          <w:lang w:val="fr-FR"/>
        </w:rPr>
        <w:t>est</w:t>
      </w:r>
      <w:r w:rsidRPr="00B86F0D">
        <w:rPr>
          <w:sz w:val="20"/>
          <w:lang w:val="fr-FR"/>
        </w:rPr>
        <w:t xml:space="preserve"> situé à proximité soit du centre</w:t>
      </w:r>
      <w:r>
        <w:rPr>
          <w:sz w:val="20"/>
          <w:lang w:val="fr-FR"/>
        </w:rPr>
        <w:t xml:space="preserve"> </w:t>
      </w:r>
      <w:r w:rsidRPr="00B86F0D">
        <w:rPr>
          <w:sz w:val="20"/>
          <w:lang w:val="fr-FR"/>
        </w:rPr>
        <w:t>de formation, soit du domicile de l’alternant.</w:t>
      </w:r>
    </w:p>
    <w:p w:rsidR="00B86F0D" w:rsidRPr="00B86F0D" w:rsidRDefault="00B86F0D" w:rsidP="00B86F0D">
      <w:pPr>
        <w:jc w:val="both"/>
        <w:rPr>
          <w:sz w:val="20"/>
          <w:lang w:val="fr-FR"/>
        </w:rPr>
      </w:pPr>
      <w:r w:rsidRPr="00B86F0D">
        <w:rPr>
          <w:sz w:val="20"/>
          <w:lang w:val="fr-FR"/>
        </w:rPr>
        <w:t>Le contrat de travail d’un étudiant alternant court sur 12 mois, du 1er septembre au 31 août.</w:t>
      </w:r>
    </w:p>
    <w:p w:rsidR="00A12C91" w:rsidRDefault="00A12C91" w:rsidP="00A12C91">
      <w:pPr>
        <w:jc w:val="both"/>
        <w:rPr>
          <w:sz w:val="20"/>
          <w:lang w:val="fr-FR"/>
        </w:rPr>
      </w:pPr>
    </w:p>
    <w:p w:rsidR="00A12C91" w:rsidRPr="00B86F0D" w:rsidRDefault="00B86F0D" w:rsidP="00B86F0D">
      <w:pPr>
        <w:jc w:val="both"/>
        <w:rPr>
          <w:sz w:val="20"/>
          <w:lang w:val="fr-FR"/>
        </w:rPr>
      </w:pPr>
      <w:r w:rsidRPr="00B86F0D">
        <w:rPr>
          <w:sz w:val="20"/>
          <w:lang w:val="fr-FR"/>
        </w:rPr>
        <w:t>L’étudiant bénéficie d’un tutorat mixte, assuré conjointement par un tuteur désigné,</w:t>
      </w:r>
      <w:r>
        <w:rPr>
          <w:sz w:val="20"/>
          <w:lang w:val="fr-FR"/>
        </w:rPr>
        <w:t xml:space="preserve"> </w:t>
      </w:r>
      <w:r w:rsidRPr="00B86F0D">
        <w:rPr>
          <w:sz w:val="20"/>
          <w:lang w:val="fr-FR"/>
        </w:rPr>
        <w:t>dans la mesure du possible, au sein de la structure d’accueil et par un membre de l’équipe</w:t>
      </w:r>
      <w:r>
        <w:rPr>
          <w:sz w:val="20"/>
          <w:lang w:val="fr-FR"/>
        </w:rPr>
        <w:t xml:space="preserve"> </w:t>
      </w:r>
      <w:r w:rsidRPr="00B86F0D">
        <w:rPr>
          <w:sz w:val="20"/>
          <w:lang w:val="fr-FR"/>
        </w:rPr>
        <w:t>enseignante de l’INSPE. Les tuteurs accompagneront l’alternant tout au long de l’année scolaire</w:t>
      </w:r>
      <w:r>
        <w:rPr>
          <w:sz w:val="20"/>
          <w:lang w:val="fr-FR"/>
        </w:rPr>
        <w:t xml:space="preserve"> </w:t>
      </w:r>
      <w:r w:rsidRPr="00B86F0D">
        <w:rPr>
          <w:sz w:val="20"/>
          <w:lang w:val="fr-FR"/>
        </w:rPr>
        <w:t xml:space="preserve">pour le guider dans sa pratique. Le taux de rémunération du tutorat des contractuels alternants est fixé à </w:t>
      </w:r>
      <w:r w:rsidR="00090A7B">
        <w:rPr>
          <w:sz w:val="20"/>
          <w:lang w:val="fr-FR"/>
        </w:rPr>
        <w:t>800</w:t>
      </w:r>
      <w:r w:rsidRPr="00B86F0D">
        <w:rPr>
          <w:sz w:val="20"/>
          <w:lang w:val="fr-FR"/>
        </w:rPr>
        <w:t xml:space="preserve"> € par étudiant</w:t>
      </w:r>
      <w:r>
        <w:rPr>
          <w:sz w:val="20"/>
          <w:lang w:val="fr-FR"/>
        </w:rPr>
        <w:t>.</w:t>
      </w:r>
    </w:p>
    <w:p w:rsidR="00B86F0D" w:rsidRDefault="00B86F0D" w:rsidP="00B86F0D">
      <w:pPr>
        <w:contextualSpacing/>
        <w:jc w:val="both"/>
        <w:rPr>
          <w:sz w:val="20"/>
          <w:lang w:val="fr-FR"/>
        </w:rPr>
      </w:pPr>
    </w:p>
    <w:p w:rsidR="00A12C91" w:rsidRDefault="00B86F0D" w:rsidP="00A12C91">
      <w:pPr>
        <w:contextualSpacing/>
        <w:jc w:val="both"/>
        <w:rPr>
          <w:sz w:val="20"/>
          <w:lang w:val="fr-FR"/>
        </w:rPr>
      </w:pPr>
      <w:r w:rsidRPr="00A12C91">
        <w:rPr>
          <w:sz w:val="20"/>
          <w:lang w:val="fr-FR"/>
        </w:rPr>
        <w:t xml:space="preserve">Les </w:t>
      </w:r>
      <w:r w:rsidR="0074480D">
        <w:rPr>
          <w:sz w:val="20"/>
          <w:lang w:val="fr-FR"/>
        </w:rPr>
        <w:t>contractuels alternants sont affectés sur des blocs de moyens provisoires</w:t>
      </w:r>
      <w:r w:rsidRPr="00A12C91">
        <w:rPr>
          <w:sz w:val="20"/>
          <w:lang w:val="fr-FR"/>
        </w:rPr>
        <w:t xml:space="preserve"> implantés en fonction du nombre </w:t>
      </w:r>
      <w:r w:rsidR="00D816DF">
        <w:rPr>
          <w:sz w:val="20"/>
          <w:lang w:val="fr-FR"/>
        </w:rPr>
        <w:t xml:space="preserve">de contrats </w:t>
      </w:r>
      <w:r w:rsidR="000E72B4">
        <w:rPr>
          <w:sz w:val="20"/>
          <w:lang w:val="fr-FR"/>
        </w:rPr>
        <w:t>défini au sein de l’académie</w:t>
      </w:r>
      <w:r w:rsidRPr="00A12C91">
        <w:rPr>
          <w:sz w:val="20"/>
          <w:lang w:val="fr-FR"/>
        </w:rPr>
        <w:t>.</w:t>
      </w:r>
    </w:p>
    <w:p w:rsidR="00D816DF" w:rsidRDefault="00D816DF" w:rsidP="00A12C91">
      <w:pPr>
        <w:contextualSpacing/>
        <w:jc w:val="both"/>
        <w:rPr>
          <w:sz w:val="20"/>
          <w:lang w:val="fr-FR"/>
        </w:rPr>
      </w:pPr>
      <w:r>
        <w:rPr>
          <w:sz w:val="20"/>
          <w:lang w:val="fr-FR"/>
        </w:rPr>
        <w:t>Des ajustements pourront être effectués en cas de recrutement infructueux.</w:t>
      </w:r>
    </w:p>
    <w:p w:rsidR="00B86F0D" w:rsidRDefault="00B86F0D" w:rsidP="00A12C91">
      <w:pPr>
        <w:contextualSpacing/>
        <w:jc w:val="both"/>
        <w:rPr>
          <w:sz w:val="20"/>
          <w:lang w:val="fr-FR"/>
        </w:rPr>
      </w:pPr>
    </w:p>
    <w:p w:rsidR="00B86F0D" w:rsidRDefault="00B86F0D" w:rsidP="00A12C91">
      <w:pPr>
        <w:contextualSpacing/>
        <w:jc w:val="both"/>
        <w:rPr>
          <w:sz w:val="20"/>
          <w:lang w:val="fr-FR"/>
        </w:rPr>
      </w:pPr>
    </w:p>
    <w:p w:rsidR="00B86F0D" w:rsidRDefault="00B86F0D" w:rsidP="00A12C91">
      <w:pPr>
        <w:contextualSpacing/>
        <w:jc w:val="both"/>
        <w:rPr>
          <w:sz w:val="20"/>
          <w:lang w:val="fr-FR"/>
        </w:rPr>
      </w:pPr>
    </w:p>
    <w:p w:rsidR="00DC602E" w:rsidRDefault="00DC602E" w:rsidP="00A12C91">
      <w:pPr>
        <w:contextualSpacing/>
        <w:jc w:val="both"/>
        <w:rPr>
          <w:sz w:val="20"/>
          <w:lang w:val="fr-FR"/>
        </w:rPr>
      </w:pPr>
      <w:r>
        <w:rPr>
          <w:sz w:val="20"/>
          <w:lang w:val="fr-FR"/>
        </w:rPr>
        <w:t>Les plages horaires hebdomadaires pendant lesquelles les stagiaires affectés à demi-service et les contractuels alternants devront être libérés pour leur formation n’ont pas encore été communiquées par l’INSPÉ. Vous serez tenus informés dès que possible.</w:t>
      </w:r>
    </w:p>
    <w:p w:rsidR="00DC602E" w:rsidRPr="00A12C91" w:rsidRDefault="00DC602E" w:rsidP="00A12C91">
      <w:pPr>
        <w:contextualSpacing/>
        <w:jc w:val="both"/>
        <w:rPr>
          <w:sz w:val="20"/>
          <w:lang w:val="fr-FR"/>
        </w:rPr>
      </w:pPr>
    </w:p>
    <w:p w:rsidR="00A12C91" w:rsidRPr="00A12C91" w:rsidRDefault="00A12C91" w:rsidP="00A12C91">
      <w:pPr>
        <w:tabs>
          <w:tab w:val="left" w:pos="3828"/>
        </w:tabs>
        <w:jc w:val="both"/>
        <w:rPr>
          <w:sz w:val="20"/>
          <w:lang w:val="fr-FR"/>
        </w:rPr>
      </w:pPr>
      <w:r w:rsidRPr="00A12C91">
        <w:rPr>
          <w:sz w:val="20"/>
          <w:lang w:val="fr-FR"/>
        </w:rPr>
        <w:t xml:space="preserve">Votre rôle dans l’accueil, l’organisation et le déroulement </w:t>
      </w:r>
      <w:r w:rsidR="00B86F0D">
        <w:rPr>
          <w:sz w:val="20"/>
          <w:lang w:val="fr-FR"/>
        </w:rPr>
        <w:t>de cette période de stage ou de contrat</w:t>
      </w:r>
      <w:r w:rsidR="00D816DF">
        <w:rPr>
          <w:sz w:val="20"/>
          <w:lang w:val="fr-FR"/>
        </w:rPr>
        <w:t xml:space="preserve"> est fondamental </w:t>
      </w:r>
      <w:r w:rsidRPr="00A12C91">
        <w:rPr>
          <w:sz w:val="20"/>
          <w:lang w:val="fr-FR"/>
        </w:rPr>
        <w:t>et je sais pouvoir compter sur votre implication.</w:t>
      </w:r>
    </w:p>
    <w:p w:rsidR="00A12C91" w:rsidRPr="00A12C91" w:rsidRDefault="00A12C91" w:rsidP="00A12C91">
      <w:pPr>
        <w:rPr>
          <w:sz w:val="20"/>
          <w:lang w:val="fr-FR"/>
        </w:rPr>
      </w:pPr>
    </w:p>
    <w:p w:rsidR="00A12C91" w:rsidRPr="00A12C91" w:rsidRDefault="00A12C91" w:rsidP="00A12C91">
      <w:pPr>
        <w:jc w:val="both"/>
        <w:rPr>
          <w:sz w:val="20"/>
          <w:lang w:val="fr-FR"/>
        </w:rPr>
      </w:pPr>
      <w:r w:rsidRPr="00A12C91">
        <w:rPr>
          <w:sz w:val="20"/>
          <w:lang w:val="fr-FR"/>
        </w:rPr>
        <w:t xml:space="preserve">La </w:t>
      </w:r>
      <w:r w:rsidR="00D816DF">
        <w:rPr>
          <w:sz w:val="20"/>
          <w:lang w:val="fr-FR"/>
        </w:rPr>
        <w:t>Division des Personnels Enseignants</w:t>
      </w:r>
      <w:r w:rsidRPr="00A12C91">
        <w:rPr>
          <w:sz w:val="20"/>
          <w:lang w:val="fr-FR"/>
        </w:rPr>
        <w:t xml:space="preserve"> reste à votre disposition pour tout complément d’information.</w:t>
      </w:r>
    </w:p>
    <w:p w:rsidR="00A12C91" w:rsidRPr="00A12C91" w:rsidRDefault="00A12C91" w:rsidP="00A12C91">
      <w:pPr>
        <w:rPr>
          <w:sz w:val="20"/>
          <w:lang w:val="fr-FR"/>
        </w:rPr>
      </w:pPr>
    </w:p>
    <w:p w:rsidR="00A12C91" w:rsidRPr="00A12C91" w:rsidRDefault="00A12C91" w:rsidP="00A12C91">
      <w:pPr>
        <w:rPr>
          <w:sz w:val="20"/>
          <w:lang w:val="fr-FR"/>
        </w:rPr>
      </w:pPr>
    </w:p>
    <w:p w:rsidR="003110BD" w:rsidRPr="00A12C91" w:rsidRDefault="003110BD" w:rsidP="00F56C3B">
      <w:pPr>
        <w:pStyle w:val="Corpsdetexte"/>
      </w:pPr>
    </w:p>
    <w:p w:rsidR="003110BD" w:rsidRPr="00A12C91" w:rsidRDefault="003110BD" w:rsidP="00F56C3B">
      <w:pPr>
        <w:pStyle w:val="Corpsdetexte"/>
      </w:pPr>
    </w:p>
    <w:p w:rsidR="003110BD" w:rsidRPr="00A12C91" w:rsidRDefault="003110BD" w:rsidP="00F56C3B">
      <w:pPr>
        <w:pStyle w:val="Corpsdetexte"/>
      </w:pPr>
    </w:p>
    <w:p w:rsidR="003110BD" w:rsidRPr="00A12C91" w:rsidRDefault="003110BD" w:rsidP="003110BD">
      <w:pPr>
        <w:pStyle w:val="Corpsdetexte"/>
        <w:ind w:left="4395"/>
        <w:jc w:val="center"/>
      </w:pPr>
      <w:r w:rsidRPr="00A12C91">
        <w:t>Pour le Recteur et par délégation,</w:t>
      </w:r>
    </w:p>
    <w:p w:rsidR="003110BD" w:rsidRDefault="00256BB3" w:rsidP="003110BD">
      <w:pPr>
        <w:pStyle w:val="Corpsdetexte"/>
        <w:ind w:left="4395"/>
        <w:jc w:val="center"/>
      </w:pPr>
      <w:r>
        <w:t>Pour le Secrétaire Général et par délégation,</w:t>
      </w:r>
    </w:p>
    <w:p w:rsidR="00256BB3" w:rsidRDefault="00256BB3" w:rsidP="003110BD">
      <w:pPr>
        <w:pStyle w:val="Corpsdetexte"/>
        <w:ind w:left="4395"/>
        <w:jc w:val="center"/>
      </w:pPr>
      <w:r>
        <w:t>La Secrétaire Générale adjointe,</w:t>
      </w:r>
    </w:p>
    <w:p w:rsidR="00256BB3" w:rsidRPr="00A12C91" w:rsidRDefault="00256BB3" w:rsidP="003110BD">
      <w:pPr>
        <w:pStyle w:val="Corpsdetexte"/>
        <w:ind w:left="4395"/>
        <w:jc w:val="center"/>
      </w:pPr>
      <w:r>
        <w:t>Directrice des Ressources Humaines,</w:t>
      </w:r>
    </w:p>
    <w:p w:rsidR="00D9554D" w:rsidRPr="00A12C91" w:rsidRDefault="00D9554D" w:rsidP="003110BD">
      <w:pPr>
        <w:pStyle w:val="Corpsdetexte"/>
        <w:ind w:left="4395"/>
        <w:jc w:val="center"/>
      </w:pPr>
    </w:p>
    <w:p w:rsidR="00D9554D" w:rsidRPr="00A12C91" w:rsidRDefault="00EA58F8" w:rsidP="003110BD">
      <w:pPr>
        <w:pStyle w:val="Corpsdetexte"/>
        <w:ind w:left="4395"/>
        <w:jc w:val="center"/>
      </w:pPr>
      <w:r>
        <w:t>SIGNÉ</w:t>
      </w:r>
    </w:p>
    <w:p w:rsidR="00D9554D" w:rsidRPr="00A12C91" w:rsidRDefault="00D9554D" w:rsidP="003110BD">
      <w:pPr>
        <w:pStyle w:val="Corpsdetexte"/>
        <w:ind w:left="4395"/>
        <w:jc w:val="center"/>
      </w:pPr>
    </w:p>
    <w:p w:rsidR="00D9554D" w:rsidRPr="00A12C91" w:rsidRDefault="00256BB3" w:rsidP="003110BD">
      <w:pPr>
        <w:pStyle w:val="Corpsdetexte"/>
        <w:ind w:left="4395"/>
        <w:jc w:val="center"/>
      </w:pPr>
      <w:r>
        <w:t>Peggy VOISSE</w:t>
      </w:r>
    </w:p>
    <w:p w:rsidR="003110BD" w:rsidRDefault="003110BD" w:rsidP="003110BD">
      <w:pPr>
        <w:pStyle w:val="Corpsdetexte"/>
        <w:ind w:left="4395"/>
        <w:jc w:val="center"/>
      </w:pPr>
    </w:p>
    <w:p w:rsidR="003110BD" w:rsidRDefault="003110BD" w:rsidP="00F56C3B">
      <w:pPr>
        <w:pStyle w:val="Corpsdetexte"/>
      </w:pPr>
      <w:bookmarkStart w:id="0" w:name="_GoBack"/>
      <w:bookmarkEnd w:id="0"/>
    </w:p>
    <w:p w:rsidR="00C626C1" w:rsidRDefault="00C626C1">
      <w:pPr>
        <w:rPr>
          <w:sz w:val="20"/>
          <w:lang w:val="fr-FR"/>
        </w:rPr>
      </w:pPr>
      <w:r>
        <w:br w:type="page"/>
      </w:r>
    </w:p>
    <w:p w:rsidR="00AE496E" w:rsidRDefault="00C626C1" w:rsidP="00C626C1">
      <w:pPr>
        <w:pStyle w:val="Corpsdetexte"/>
        <w:jc w:val="center"/>
      </w:pPr>
      <w:r>
        <w:lastRenderedPageBreak/>
        <w:t>STAGIAIRES</w:t>
      </w:r>
    </w:p>
    <w:p w:rsidR="00C626C1" w:rsidRDefault="00C626C1" w:rsidP="00C626C1">
      <w:pPr>
        <w:pStyle w:val="Corpsdetexte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581"/>
        <w:gridCol w:w="2493"/>
        <w:gridCol w:w="2493"/>
      </w:tblGrid>
      <w:tr w:rsidR="0074480D" w:rsidRPr="0080732D" w:rsidTr="0069258B">
        <w:tc>
          <w:tcPr>
            <w:tcW w:w="2405" w:type="dxa"/>
            <w:vAlign w:val="center"/>
          </w:tcPr>
          <w:p w:rsidR="0074480D" w:rsidRPr="0080732D" w:rsidRDefault="0074480D" w:rsidP="00252807">
            <w:pPr>
              <w:pStyle w:val="Corpsdetexte"/>
              <w:spacing w:line="240" w:lineRule="auto"/>
              <w:contextualSpacing/>
              <w:rPr>
                <w:szCs w:val="20"/>
              </w:rPr>
            </w:pPr>
            <w:r w:rsidRPr="0080732D">
              <w:rPr>
                <w:szCs w:val="20"/>
              </w:rPr>
              <w:t>Profil de stagiaire</w:t>
            </w:r>
          </w:p>
        </w:tc>
        <w:tc>
          <w:tcPr>
            <w:tcW w:w="2581" w:type="dxa"/>
            <w:vAlign w:val="center"/>
          </w:tcPr>
          <w:p w:rsidR="0074480D" w:rsidRPr="0080732D" w:rsidRDefault="0074480D" w:rsidP="0069258B">
            <w:pPr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 xml:space="preserve">Quotité de service en établissement </w:t>
            </w:r>
          </w:p>
        </w:tc>
        <w:tc>
          <w:tcPr>
            <w:tcW w:w="2493" w:type="dxa"/>
            <w:vAlign w:val="center"/>
          </w:tcPr>
          <w:p w:rsidR="0074480D" w:rsidRPr="0080732D" w:rsidRDefault="0074480D" w:rsidP="00252807">
            <w:pPr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Modalités de formation</w:t>
            </w:r>
          </w:p>
        </w:tc>
        <w:tc>
          <w:tcPr>
            <w:tcW w:w="2493" w:type="dxa"/>
            <w:vAlign w:val="center"/>
          </w:tcPr>
          <w:p w:rsidR="0074480D" w:rsidRPr="0080732D" w:rsidRDefault="0074480D" w:rsidP="00252807">
            <w:pPr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 xml:space="preserve">Recommandations </w:t>
            </w:r>
          </w:p>
        </w:tc>
      </w:tr>
      <w:tr w:rsidR="0069258B" w:rsidRPr="0080732D" w:rsidTr="0069258B">
        <w:trPr>
          <w:trHeight w:val="1330"/>
        </w:trPr>
        <w:tc>
          <w:tcPr>
            <w:tcW w:w="2405" w:type="dxa"/>
            <w:vAlign w:val="center"/>
          </w:tcPr>
          <w:p w:rsidR="0069258B" w:rsidRPr="0080732D" w:rsidRDefault="0069258B" w:rsidP="00252807">
            <w:pPr>
              <w:pStyle w:val="Corpsdetexte"/>
              <w:spacing w:line="240" w:lineRule="auto"/>
              <w:contextualSpacing/>
              <w:rPr>
                <w:szCs w:val="20"/>
              </w:rPr>
            </w:pPr>
            <w:r w:rsidRPr="0080732D">
              <w:rPr>
                <w:szCs w:val="20"/>
              </w:rPr>
              <w:t>Lauréats titulaires d’un master « métiers de l’enseignement, de l’éducation et de la formation » (MEEF)</w:t>
            </w:r>
          </w:p>
        </w:tc>
        <w:tc>
          <w:tcPr>
            <w:tcW w:w="2581" w:type="dxa"/>
            <w:vMerge w:val="restart"/>
            <w:vAlign w:val="center"/>
          </w:tcPr>
          <w:p w:rsidR="0069258B" w:rsidRPr="0080732D" w:rsidRDefault="0069258B" w:rsidP="00252807">
            <w:pPr>
              <w:contextualSpacing/>
              <w:rPr>
                <w:sz w:val="20"/>
                <w:szCs w:val="20"/>
                <w:lang w:val="fr-FR"/>
              </w:rPr>
            </w:pPr>
            <w:r w:rsidRPr="0069258B">
              <w:rPr>
                <w:rFonts w:eastAsia="Times New Roman"/>
                <w:b/>
                <w:color w:val="35395B" w:themeColor="accent2" w:themeShade="BF"/>
                <w:kern w:val="24"/>
                <w:sz w:val="20"/>
                <w:szCs w:val="20"/>
                <w:lang w:val="fr-FR"/>
              </w:rPr>
              <w:t>Temps complet</w:t>
            </w:r>
          </w:p>
        </w:tc>
        <w:tc>
          <w:tcPr>
            <w:tcW w:w="2493" w:type="dxa"/>
            <w:vMerge w:val="restart"/>
            <w:vAlign w:val="center"/>
          </w:tcPr>
          <w:p w:rsidR="0069258B" w:rsidRDefault="0069258B" w:rsidP="0080732D">
            <w:pPr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Crédit de 10 à 20 jours de formation</w:t>
            </w:r>
          </w:p>
          <w:p w:rsidR="0069258B" w:rsidRDefault="0069258B" w:rsidP="0080732D">
            <w:pPr>
              <w:contextualSpacing/>
              <w:rPr>
                <w:sz w:val="20"/>
                <w:szCs w:val="20"/>
                <w:lang w:val="fr-FR"/>
              </w:rPr>
            </w:pPr>
          </w:p>
          <w:p w:rsidR="0069258B" w:rsidRDefault="0069258B" w:rsidP="0080732D">
            <w:pPr>
              <w:contextualSpacing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Tutorat</w:t>
            </w:r>
          </w:p>
          <w:p w:rsidR="0069258B" w:rsidRPr="0080732D" w:rsidRDefault="0069258B" w:rsidP="0080732D">
            <w:pPr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69258B" w:rsidRPr="0080732D" w:rsidRDefault="0069258B" w:rsidP="00252807">
            <w:pPr>
              <w:contextualSpacing/>
              <w:jc w:val="both"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Les services en SEGPA seront évités (à l’exception des PLP appartenant aux disciplines professionnelles).</w:t>
            </w:r>
          </w:p>
          <w:p w:rsidR="0069258B" w:rsidRPr="0080732D" w:rsidRDefault="0069258B" w:rsidP="00252807">
            <w:pPr>
              <w:ind w:left="567"/>
              <w:contextualSpacing/>
              <w:jc w:val="both"/>
              <w:rPr>
                <w:sz w:val="20"/>
                <w:szCs w:val="20"/>
                <w:lang w:val="fr-FR"/>
              </w:rPr>
            </w:pPr>
          </w:p>
          <w:p w:rsidR="0069258B" w:rsidRPr="0080732D" w:rsidRDefault="0069258B" w:rsidP="00252807">
            <w:pPr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 xml:space="preserve">Le stagiaire ne doit pas effectuer d’heures supplémentaires (HSA et HSE) et ne doit pas effectuer de complément de service. A titre exceptionnel, dans certaines disciplines, le stagiaire peut effectuer son service sur plusieurs établissements </w:t>
            </w:r>
          </w:p>
        </w:tc>
      </w:tr>
      <w:tr w:rsidR="0069258B" w:rsidRPr="0080732D" w:rsidTr="0069258B">
        <w:trPr>
          <w:trHeight w:val="2579"/>
        </w:trPr>
        <w:tc>
          <w:tcPr>
            <w:tcW w:w="2405" w:type="dxa"/>
            <w:vAlign w:val="center"/>
          </w:tcPr>
          <w:p w:rsidR="0069258B" w:rsidRPr="0080732D" w:rsidRDefault="0069258B" w:rsidP="0069258B">
            <w:pPr>
              <w:contextualSpacing/>
              <w:rPr>
                <w:color w:val="000000" w:themeColor="dark1"/>
                <w:kern w:val="24"/>
                <w:sz w:val="20"/>
                <w:szCs w:val="20"/>
                <w:lang w:val="fr-FR"/>
              </w:rPr>
            </w:pPr>
            <w:r w:rsidRPr="0080732D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val="fr-FR"/>
              </w:rPr>
              <w:t>Lauréats justifiant d’une expérience significative d’enseignement (au moins 18 mois en équivalent temps plein sur les trois dernières années scolaires)</w:t>
            </w:r>
            <w:r>
              <w:rPr>
                <w:rFonts w:eastAsia="Times New Roman"/>
                <w:color w:val="000000" w:themeColor="dark1"/>
                <w:kern w:val="24"/>
                <w:sz w:val="20"/>
                <w:szCs w:val="20"/>
                <w:lang w:val="fr-FR"/>
              </w:rPr>
              <w:t>, quel que soit le diplôme détenu</w:t>
            </w:r>
          </w:p>
        </w:tc>
        <w:tc>
          <w:tcPr>
            <w:tcW w:w="2581" w:type="dxa"/>
            <w:vMerge/>
            <w:vAlign w:val="center"/>
          </w:tcPr>
          <w:p w:rsidR="0069258B" w:rsidRPr="0069258B" w:rsidRDefault="0069258B" w:rsidP="0069258B">
            <w:pPr>
              <w:contextualSpacing/>
              <w:rPr>
                <w:rFonts w:eastAsia="Times New Roman"/>
                <w:b/>
                <w:color w:val="35395B" w:themeColor="accent2" w:themeShade="BF"/>
                <w:kern w:val="24"/>
                <w:sz w:val="20"/>
                <w:szCs w:val="20"/>
                <w:lang w:val="fr-FR"/>
              </w:rPr>
            </w:pPr>
          </w:p>
        </w:tc>
        <w:tc>
          <w:tcPr>
            <w:tcW w:w="2493" w:type="dxa"/>
            <w:vMerge/>
            <w:vAlign w:val="center"/>
          </w:tcPr>
          <w:p w:rsidR="0069258B" w:rsidRPr="0080732D" w:rsidRDefault="0069258B" w:rsidP="0069258B">
            <w:pPr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2493" w:type="dxa"/>
            <w:vMerge/>
            <w:vAlign w:val="center"/>
          </w:tcPr>
          <w:p w:rsidR="0069258B" w:rsidRPr="0080732D" w:rsidRDefault="0069258B" w:rsidP="00252807">
            <w:pPr>
              <w:contextualSpacing/>
              <w:rPr>
                <w:sz w:val="20"/>
                <w:szCs w:val="20"/>
                <w:lang w:val="fr-FR"/>
              </w:rPr>
            </w:pPr>
          </w:p>
        </w:tc>
      </w:tr>
      <w:tr w:rsidR="0069258B" w:rsidRPr="0080732D" w:rsidTr="0069258B">
        <w:trPr>
          <w:trHeight w:val="4600"/>
        </w:trPr>
        <w:tc>
          <w:tcPr>
            <w:tcW w:w="2405" w:type="dxa"/>
            <w:vAlign w:val="center"/>
          </w:tcPr>
          <w:p w:rsidR="0069258B" w:rsidRDefault="0069258B" w:rsidP="0069258B">
            <w:pPr>
              <w:pStyle w:val="Corpsdetexte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Lauréats </w:t>
            </w:r>
            <w:r w:rsidRPr="0080732D">
              <w:rPr>
                <w:szCs w:val="20"/>
              </w:rPr>
              <w:t>titulaires</w:t>
            </w:r>
            <w:r>
              <w:rPr>
                <w:szCs w:val="20"/>
              </w:rPr>
              <w:t xml:space="preserve"> </w:t>
            </w:r>
            <w:r w:rsidRPr="0080732D">
              <w:rPr>
                <w:szCs w:val="20"/>
              </w:rPr>
              <w:t xml:space="preserve">d'un master </w:t>
            </w:r>
            <w:r w:rsidR="006066E5">
              <w:rPr>
                <w:szCs w:val="20"/>
              </w:rPr>
              <w:t xml:space="preserve">autre que MEEF </w:t>
            </w:r>
            <w:r>
              <w:rPr>
                <w:szCs w:val="20"/>
              </w:rPr>
              <w:t xml:space="preserve">ou titre équivalent ; </w:t>
            </w:r>
          </w:p>
          <w:p w:rsidR="0069258B" w:rsidRDefault="0069258B" w:rsidP="0069258B">
            <w:pPr>
              <w:pStyle w:val="Corpsdetexte"/>
              <w:contextualSpacing/>
              <w:rPr>
                <w:szCs w:val="20"/>
              </w:rPr>
            </w:pPr>
          </w:p>
          <w:p w:rsidR="0069258B" w:rsidRPr="0080732D" w:rsidRDefault="0069258B" w:rsidP="0069258B">
            <w:pPr>
              <w:pStyle w:val="Corpsdetexte"/>
              <w:contextualSpacing/>
              <w:rPr>
                <w:szCs w:val="20"/>
              </w:rPr>
            </w:pPr>
            <w:r>
              <w:rPr>
                <w:szCs w:val="20"/>
              </w:rPr>
              <w:t>Lauréats dispensés de diplôme</w:t>
            </w:r>
          </w:p>
        </w:tc>
        <w:tc>
          <w:tcPr>
            <w:tcW w:w="2581" w:type="dxa"/>
            <w:vAlign w:val="center"/>
          </w:tcPr>
          <w:p w:rsidR="0069258B" w:rsidRPr="0080732D" w:rsidRDefault="0069258B" w:rsidP="00252807">
            <w:pPr>
              <w:contextualSpacing/>
              <w:rPr>
                <w:rFonts w:eastAsia="Times New Roman"/>
                <w:b/>
                <w:color w:val="35395B" w:themeColor="accent2" w:themeShade="BF"/>
                <w:kern w:val="24"/>
                <w:sz w:val="20"/>
                <w:szCs w:val="20"/>
                <w:lang w:val="fr-FR"/>
              </w:rPr>
            </w:pPr>
            <w:r w:rsidRPr="0080732D">
              <w:rPr>
                <w:rFonts w:eastAsia="Times New Roman"/>
                <w:b/>
                <w:color w:val="35395B" w:themeColor="accent2" w:themeShade="BF"/>
                <w:kern w:val="24"/>
                <w:sz w:val="20"/>
                <w:szCs w:val="20"/>
                <w:lang w:val="fr-FR"/>
              </w:rPr>
              <w:t>Demi-service :</w:t>
            </w:r>
          </w:p>
          <w:p w:rsidR="0069258B" w:rsidRPr="0080732D" w:rsidRDefault="0069258B" w:rsidP="00252807">
            <w:pPr>
              <w:pStyle w:val="Paragraphedeliste"/>
              <w:widowControl/>
              <w:numPr>
                <w:ilvl w:val="0"/>
                <w:numId w:val="18"/>
              </w:numPr>
              <w:tabs>
                <w:tab w:val="left" w:pos="138"/>
              </w:tabs>
              <w:autoSpaceDE/>
              <w:autoSpaceDN/>
              <w:spacing w:before="0"/>
              <w:ind w:left="138" w:hanging="138"/>
              <w:contextualSpacing/>
              <w:rPr>
                <w:sz w:val="20"/>
                <w:szCs w:val="20"/>
                <w:lang w:val="fr-FR"/>
              </w:rPr>
            </w:pPr>
            <w:proofErr w:type="gramStart"/>
            <w:r w:rsidRPr="0080732D">
              <w:rPr>
                <w:sz w:val="20"/>
                <w:szCs w:val="20"/>
                <w:lang w:val="fr-FR"/>
              </w:rPr>
              <w:t>certifiés</w:t>
            </w:r>
            <w:proofErr w:type="gramEnd"/>
            <w:r w:rsidRPr="0080732D">
              <w:rPr>
                <w:sz w:val="20"/>
                <w:szCs w:val="20"/>
                <w:lang w:val="fr-FR"/>
              </w:rPr>
              <w:t>, PLP : 8 à 10 h</w:t>
            </w:r>
          </w:p>
          <w:p w:rsidR="0069258B" w:rsidRPr="0080732D" w:rsidRDefault="0069258B" w:rsidP="00252807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- agrégés : 7 à 9 h</w:t>
            </w:r>
          </w:p>
          <w:p w:rsidR="0069258B" w:rsidRPr="0080732D" w:rsidRDefault="0069258B" w:rsidP="00252807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- PEPS : 8 à 9 h + 3 h AS sur 6 mois</w:t>
            </w:r>
          </w:p>
          <w:p w:rsidR="0069258B" w:rsidRPr="0080732D" w:rsidRDefault="0069258B" w:rsidP="00252807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- agrégés EPS : 7 à 8 h + 3 h AS sur 6 mois</w:t>
            </w:r>
          </w:p>
          <w:p w:rsidR="0069258B" w:rsidRPr="0080732D" w:rsidRDefault="0069258B" w:rsidP="00252807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- CPE, DOC : 18 h</w:t>
            </w:r>
          </w:p>
          <w:p w:rsidR="0069258B" w:rsidRPr="0080732D" w:rsidRDefault="0069258B" w:rsidP="00252807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  <w:lang w:val="fr-FR"/>
              </w:rPr>
            </w:pPr>
          </w:p>
          <w:p w:rsidR="0069258B" w:rsidRPr="0080732D" w:rsidRDefault="0069258B" w:rsidP="00252807">
            <w:pPr>
              <w:pStyle w:val="Corpsdetexte"/>
              <w:spacing w:line="240" w:lineRule="auto"/>
              <w:contextualSpacing/>
              <w:rPr>
                <w:szCs w:val="20"/>
              </w:rPr>
            </w:pPr>
          </w:p>
          <w:p w:rsidR="0069258B" w:rsidRPr="0080732D" w:rsidRDefault="0069258B" w:rsidP="00252807">
            <w:pPr>
              <w:contextualSpacing/>
              <w:rPr>
                <w:sz w:val="20"/>
                <w:szCs w:val="20"/>
                <w:lang w:val="fr-FR"/>
              </w:rPr>
            </w:pPr>
            <w:r w:rsidRPr="0080732D">
              <w:rPr>
                <w:sz w:val="20"/>
                <w:szCs w:val="20"/>
                <w:lang w:val="fr-FR"/>
              </w:rPr>
              <w:t>Eviter, dans toute la mesure du possible, la prise en charge de plus de 2 niveaux d’enseignement, pour limiter les temps de préparation.</w:t>
            </w:r>
          </w:p>
          <w:p w:rsidR="0069258B" w:rsidRPr="0080732D" w:rsidRDefault="0069258B" w:rsidP="00252807">
            <w:pPr>
              <w:pStyle w:val="Corpsdetexte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69258B" w:rsidRPr="0080732D" w:rsidRDefault="0069258B" w:rsidP="00252807">
            <w:pPr>
              <w:pStyle w:val="Corpsdetexte"/>
              <w:spacing w:line="240" w:lineRule="auto"/>
              <w:contextualSpacing/>
              <w:rPr>
                <w:szCs w:val="20"/>
              </w:rPr>
            </w:pPr>
            <w:r>
              <w:rPr>
                <w:rFonts w:eastAsia="Times New Roman"/>
                <w:color w:val="000000" w:themeColor="dark1"/>
                <w:kern w:val="24"/>
                <w:szCs w:val="20"/>
              </w:rPr>
              <w:t>Tutorat</w:t>
            </w:r>
          </w:p>
        </w:tc>
        <w:tc>
          <w:tcPr>
            <w:tcW w:w="2493" w:type="dxa"/>
            <w:vMerge/>
            <w:vAlign w:val="center"/>
          </w:tcPr>
          <w:p w:rsidR="0069258B" w:rsidRPr="0080732D" w:rsidRDefault="0069258B" w:rsidP="00252807">
            <w:pPr>
              <w:contextualSpacing/>
              <w:rPr>
                <w:sz w:val="20"/>
                <w:szCs w:val="20"/>
                <w:lang w:val="fr-FR"/>
              </w:rPr>
            </w:pPr>
          </w:p>
        </w:tc>
      </w:tr>
    </w:tbl>
    <w:p w:rsidR="00C626C1" w:rsidRDefault="00C626C1" w:rsidP="00F56C3B">
      <w:pPr>
        <w:pStyle w:val="Corpsdetexte"/>
      </w:pPr>
    </w:p>
    <w:p w:rsidR="00C626C1" w:rsidRDefault="0074480D" w:rsidP="0074480D">
      <w:pPr>
        <w:pStyle w:val="Corpsdetexte"/>
        <w:jc w:val="center"/>
      </w:pPr>
      <w:r>
        <w:t>ALTERNANTS</w:t>
      </w:r>
    </w:p>
    <w:p w:rsidR="000D4F4A" w:rsidRDefault="000D4F4A" w:rsidP="0074480D">
      <w:pPr>
        <w:pStyle w:val="Corpsdetexte"/>
        <w:jc w:val="center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6066E5" w:rsidRPr="000D4F4A" w:rsidTr="006066E5">
        <w:trPr>
          <w:trHeight w:val="445"/>
        </w:trPr>
        <w:tc>
          <w:tcPr>
            <w:tcW w:w="2405" w:type="dxa"/>
            <w:vAlign w:val="center"/>
          </w:tcPr>
          <w:p w:rsidR="006066E5" w:rsidRPr="000D4F4A" w:rsidRDefault="006066E5" w:rsidP="008A2529">
            <w:pPr>
              <w:rPr>
                <w:sz w:val="20"/>
              </w:rPr>
            </w:pPr>
            <w:proofErr w:type="spellStart"/>
            <w:r w:rsidRPr="000D4F4A">
              <w:rPr>
                <w:sz w:val="20"/>
              </w:rPr>
              <w:t>Fonctions</w:t>
            </w:r>
            <w:proofErr w:type="spellEnd"/>
          </w:p>
        </w:tc>
        <w:tc>
          <w:tcPr>
            <w:tcW w:w="7513" w:type="dxa"/>
            <w:vAlign w:val="center"/>
          </w:tcPr>
          <w:p w:rsidR="006066E5" w:rsidRPr="000D4F4A" w:rsidRDefault="006066E5" w:rsidP="008A2529">
            <w:pPr>
              <w:rPr>
                <w:sz w:val="20"/>
              </w:rPr>
            </w:pPr>
            <w:r w:rsidRPr="000D4F4A">
              <w:rPr>
                <w:sz w:val="20"/>
              </w:rPr>
              <w:t xml:space="preserve">Volume </w:t>
            </w:r>
            <w:proofErr w:type="spellStart"/>
            <w:r w:rsidRPr="000D4F4A">
              <w:rPr>
                <w:sz w:val="20"/>
              </w:rPr>
              <w:t>hebdomadaire</w:t>
            </w:r>
            <w:proofErr w:type="spellEnd"/>
          </w:p>
        </w:tc>
      </w:tr>
      <w:tr w:rsidR="006066E5" w:rsidRPr="000D4F4A" w:rsidTr="006066E5">
        <w:tc>
          <w:tcPr>
            <w:tcW w:w="2405" w:type="dxa"/>
            <w:vAlign w:val="center"/>
          </w:tcPr>
          <w:p w:rsidR="006066E5" w:rsidRPr="000D4F4A" w:rsidRDefault="006066E5" w:rsidP="000D4F4A">
            <w:pPr>
              <w:rPr>
                <w:sz w:val="20"/>
              </w:rPr>
            </w:pPr>
            <w:proofErr w:type="spellStart"/>
            <w:r w:rsidRPr="000D4F4A">
              <w:rPr>
                <w:sz w:val="20"/>
              </w:rPr>
              <w:t>Enseignement</w:t>
            </w:r>
            <w:proofErr w:type="spellEnd"/>
            <w:r w:rsidRPr="000D4F4A">
              <w:rPr>
                <w:sz w:val="20"/>
              </w:rPr>
              <w:t xml:space="preserve"> de </w:t>
            </w:r>
            <w:proofErr w:type="spellStart"/>
            <w:r w:rsidRPr="000D4F4A">
              <w:rPr>
                <w:sz w:val="20"/>
              </w:rPr>
              <w:t>l’éducation</w:t>
            </w:r>
            <w:proofErr w:type="spellEnd"/>
            <w:r w:rsidRPr="000D4F4A">
              <w:rPr>
                <w:sz w:val="20"/>
              </w:rPr>
              <w:t xml:space="preserve"> physique et sportive</w:t>
            </w:r>
          </w:p>
        </w:tc>
        <w:tc>
          <w:tcPr>
            <w:tcW w:w="7513" w:type="dxa"/>
            <w:vAlign w:val="center"/>
          </w:tcPr>
          <w:p w:rsidR="006066E5" w:rsidRPr="000D4F4A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 xml:space="preserve">De 3 à 9 </w:t>
            </w:r>
            <w:proofErr w:type="spellStart"/>
            <w:r w:rsidRPr="000D4F4A">
              <w:rPr>
                <w:sz w:val="20"/>
              </w:rPr>
              <w:t>heures</w:t>
            </w:r>
            <w:proofErr w:type="spellEnd"/>
          </w:p>
          <w:p w:rsidR="006066E5" w:rsidRPr="000D4F4A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 xml:space="preserve">+ 3 </w:t>
            </w:r>
            <w:proofErr w:type="spellStart"/>
            <w:r w:rsidRPr="000D4F4A">
              <w:rPr>
                <w:sz w:val="20"/>
              </w:rPr>
              <w:t>heures</w:t>
            </w:r>
            <w:proofErr w:type="spellEnd"/>
            <w:r w:rsidRPr="000D4F4A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0D4F4A">
              <w:rPr>
                <w:sz w:val="20"/>
              </w:rPr>
              <w:t xml:space="preserve"> pendant 1 </w:t>
            </w:r>
            <w:proofErr w:type="spellStart"/>
            <w:r w:rsidRPr="000D4F4A">
              <w:rPr>
                <w:sz w:val="20"/>
              </w:rPr>
              <w:t>trimestre</w:t>
            </w:r>
            <w:proofErr w:type="spellEnd"/>
          </w:p>
          <w:p w:rsidR="006066E5" w:rsidRPr="000D4F4A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 xml:space="preserve">(volume </w:t>
            </w:r>
            <w:proofErr w:type="spellStart"/>
            <w:r w:rsidRPr="000D4F4A">
              <w:rPr>
                <w:sz w:val="20"/>
              </w:rPr>
              <w:t>annuel</w:t>
            </w:r>
            <w:proofErr w:type="spellEnd"/>
            <w:r w:rsidRPr="000D4F4A">
              <w:rPr>
                <w:sz w:val="20"/>
              </w:rPr>
              <w:t xml:space="preserve"> de 240 </w:t>
            </w:r>
            <w:proofErr w:type="spellStart"/>
            <w:r w:rsidRPr="000D4F4A">
              <w:rPr>
                <w:sz w:val="20"/>
              </w:rPr>
              <w:t>heures</w:t>
            </w:r>
            <w:proofErr w:type="spellEnd"/>
            <w:r w:rsidRPr="000D4F4A">
              <w:rPr>
                <w:sz w:val="20"/>
              </w:rPr>
              <w:t>)</w:t>
            </w:r>
          </w:p>
        </w:tc>
      </w:tr>
      <w:tr w:rsidR="006066E5" w:rsidRPr="000D4F4A" w:rsidTr="006066E5">
        <w:tc>
          <w:tcPr>
            <w:tcW w:w="2405" w:type="dxa"/>
            <w:vAlign w:val="center"/>
          </w:tcPr>
          <w:p w:rsidR="006066E5" w:rsidRPr="000D4F4A" w:rsidRDefault="006066E5" w:rsidP="000D4F4A">
            <w:pPr>
              <w:rPr>
                <w:sz w:val="20"/>
              </w:rPr>
            </w:pPr>
            <w:proofErr w:type="spellStart"/>
            <w:r w:rsidRPr="000D4F4A">
              <w:rPr>
                <w:sz w:val="20"/>
              </w:rPr>
              <w:t>Enseignement</w:t>
            </w:r>
            <w:proofErr w:type="spellEnd"/>
            <w:r w:rsidRPr="000D4F4A">
              <w:rPr>
                <w:sz w:val="20"/>
              </w:rPr>
              <w:t xml:space="preserve"> - </w:t>
            </w:r>
            <w:proofErr w:type="spellStart"/>
            <w:r w:rsidRPr="000D4F4A">
              <w:rPr>
                <w:sz w:val="20"/>
              </w:rPr>
              <w:t>autres</w:t>
            </w:r>
            <w:proofErr w:type="spellEnd"/>
            <w:r w:rsidRPr="000D4F4A">
              <w:rPr>
                <w:sz w:val="20"/>
              </w:rPr>
              <w:t xml:space="preserve"> disciplines</w:t>
            </w:r>
          </w:p>
        </w:tc>
        <w:tc>
          <w:tcPr>
            <w:tcW w:w="7513" w:type="dxa"/>
            <w:vAlign w:val="center"/>
          </w:tcPr>
          <w:p w:rsidR="006066E5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 xml:space="preserve">De 3 à 9 </w:t>
            </w:r>
            <w:proofErr w:type="spellStart"/>
            <w:r w:rsidRPr="000D4F4A">
              <w:rPr>
                <w:sz w:val="20"/>
              </w:rPr>
              <w:t>heures</w:t>
            </w:r>
            <w:proofErr w:type="spellEnd"/>
            <w:r w:rsidRPr="000D4F4A">
              <w:rPr>
                <w:sz w:val="20"/>
              </w:rPr>
              <w:t xml:space="preserve"> </w:t>
            </w:r>
          </w:p>
          <w:p w:rsidR="006066E5" w:rsidRPr="000D4F4A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 xml:space="preserve">(volume </w:t>
            </w:r>
            <w:proofErr w:type="spellStart"/>
            <w:r w:rsidRPr="000D4F4A">
              <w:rPr>
                <w:sz w:val="20"/>
              </w:rPr>
              <w:t>annuel</w:t>
            </w:r>
            <w:proofErr w:type="spellEnd"/>
            <w:r w:rsidRPr="000D4F4A">
              <w:rPr>
                <w:sz w:val="20"/>
              </w:rPr>
              <w:t xml:space="preserve"> de 216 </w:t>
            </w:r>
            <w:proofErr w:type="spellStart"/>
            <w:r w:rsidRPr="000D4F4A">
              <w:rPr>
                <w:sz w:val="20"/>
              </w:rPr>
              <w:t>heures</w:t>
            </w:r>
            <w:proofErr w:type="spellEnd"/>
            <w:r w:rsidRPr="000D4F4A">
              <w:rPr>
                <w:sz w:val="20"/>
              </w:rPr>
              <w:t>)</w:t>
            </w:r>
          </w:p>
        </w:tc>
      </w:tr>
      <w:tr w:rsidR="006066E5" w:rsidRPr="000D4F4A" w:rsidTr="006066E5">
        <w:tc>
          <w:tcPr>
            <w:tcW w:w="2405" w:type="dxa"/>
            <w:vAlign w:val="center"/>
          </w:tcPr>
          <w:p w:rsidR="006066E5" w:rsidRPr="000D4F4A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>Documentation</w:t>
            </w:r>
          </w:p>
        </w:tc>
        <w:tc>
          <w:tcPr>
            <w:tcW w:w="7513" w:type="dxa"/>
            <w:vAlign w:val="center"/>
          </w:tcPr>
          <w:p w:rsidR="006066E5" w:rsidRPr="000D4F4A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 xml:space="preserve">12 </w:t>
            </w:r>
            <w:proofErr w:type="spellStart"/>
            <w:r w:rsidRPr="000D4F4A">
              <w:rPr>
                <w:sz w:val="20"/>
              </w:rPr>
              <w:t>heures</w:t>
            </w:r>
            <w:proofErr w:type="spellEnd"/>
            <w:r w:rsidRPr="000D4F4A">
              <w:rPr>
                <w:sz w:val="20"/>
              </w:rPr>
              <w:t xml:space="preserve">, </w:t>
            </w:r>
            <w:proofErr w:type="spellStart"/>
            <w:r w:rsidRPr="000D4F4A">
              <w:rPr>
                <w:sz w:val="20"/>
              </w:rPr>
              <w:t>dont</w:t>
            </w:r>
            <w:proofErr w:type="spellEnd"/>
            <w:r w:rsidRPr="000D4F4A">
              <w:rPr>
                <w:sz w:val="20"/>
              </w:rPr>
              <w:t xml:space="preserve"> 10 </w:t>
            </w:r>
            <w:proofErr w:type="spellStart"/>
            <w:r w:rsidRPr="000D4F4A">
              <w:rPr>
                <w:sz w:val="20"/>
              </w:rPr>
              <w:t>consacrées</w:t>
            </w:r>
            <w:proofErr w:type="spellEnd"/>
            <w:r w:rsidRPr="000D4F4A">
              <w:rPr>
                <w:sz w:val="20"/>
              </w:rPr>
              <w:t xml:space="preserve"> au service </w:t>
            </w:r>
            <w:proofErr w:type="spellStart"/>
            <w:r w:rsidRPr="000D4F4A">
              <w:rPr>
                <w:sz w:val="20"/>
              </w:rPr>
              <w:t>d’information</w:t>
            </w:r>
            <w:proofErr w:type="spellEnd"/>
            <w:r w:rsidRPr="000D4F4A">
              <w:rPr>
                <w:sz w:val="20"/>
              </w:rPr>
              <w:t xml:space="preserve"> et </w:t>
            </w:r>
            <w:proofErr w:type="spellStart"/>
            <w:r w:rsidRPr="000D4F4A">
              <w:rPr>
                <w:sz w:val="20"/>
              </w:rPr>
              <w:t>d’orientation</w:t>
            </w:r>
            <w:proofErr w:type="spellEnd"/>
            <w:r w:rsidRPr="000D4F4A">
              <w:rPr>
                <w:sz w:val="20"/>
              </w:rPr>
              <w:t xml:space="preserve"> et 2 aux relations avec </w:t>
            </w:r>
            <w:proofErr w:type="spellStart"/>
            <w:r w:rsidRPr="000D4F4A">
              <w:rPr>
                <w:sz w:val="20"/>
              </w:rPr>
              <w:t>l’extérieur</w:t>
            </w:r>
            <w:proofErr w:type="spellEnd"/>
          </w:p>
        </w:tc>
      </w:tr>
      <w:tr w:rsidR="006066E5" w:rsidRPr="000D4F4A" w:rsidTr="006066E5">
        <w:tc>
          <w:tcPr>
            <w:tcW w:w="2405" w:type="dxa"/>
            <w:vAlign w:val="center"/>
          </w:tcPr>
          <w:p w:rsidR="006066E5" w:rsidRPr="000D4F4A" w:rsidRDefault="006066E5" w:rsidP="000D4F4A">
            <w:pPr>
              <w:rPr>
                <w:sz w:val="20"/>
              </w:rPr>
            </w:pPr>
            <w:r w:rsidRPr="000D4F4A">
              <w:rPr>
                <w:sz w:val="20"/>
              </w:rPr>
              <w:t>Education (CPE)</w:t>
            </w:r>
          </w:p>
        </w:tc>
        <w:tc>
          <w:tcPr>
            <w:tcW w:w="7513" w:type="dxa"/>
            <w:vAlign w:val="center"/>
          </w:tcPr>
          <w:p w:rsidR="006066E5" w:rsidRPr="000D4F4A" w:rsidRDefault="006066E5" w:rsidP="000D4F4A">
            <w:pPr>
              <w:adjustRightInd w:val="0"/>
              <w:rPr>
                <w:sz w:val="20"/>
              </w:rPr>
            </w:pPr>
            <w:r w:rsidRPr="000D4F4A">
              <w:rPr>
                <w:sz w:val="20"/>
              </w:rPr>
              <w:t xml:space="preserve">Un tiers des obligations de service </w:t>
            </w:r>
            <w:proofErr w:type="spellStart"/>
            <w:r w:rsidRPr="000D4F4A">
              <w:rPr>
                <w:sz w:val="20"/>
              </w:rPr>
              <w:t>prévues</w:t>
            </w:r>
            <w:proofErr w:type="spellEnd"/>
            <w:r w:rsidRPr="000D4F4A">
              <w:rPr>
                <w:sz w:val="20"/>
              </w:rPr>
              <w:t xml:space="preserve"> par </w:t>
            </w:r>
            <w:proofErr w:type="spellStart"/>
            <w:r w:rsidRPr="000D4F4A">
              <w:rPr>
                <w:sz w:val="20"/>
              </w:rPr>
              <w:t>l'arrêté</w:t>
            </w:r>
            <w:proofErr w:type="spellEnd"/>
            <w:r w:rsidRPr="000D4F4A">
              <w:rPr>
                <w:sz w:val="20"/>
              </w:rPr>
              <w:t xml:space="preserve"> du 4 </w:t>
            </w:r>
            <w:proofErr w:type="spellStart"/>
            <w:r w:rsidRPr="000D4F4A">
              <w:rPr>
                <w:sz w:val="20"/>
              </w:rPr>
              <w:t>septembre</w:t>
            </w:r>
            <w:proofErr w:type="spellEnd"/>
            <w:r w:rsidRPr="000D4F4A">
              <w:rPr>
                <w:sz w:val="20"/>
              </w:rPr>
              <w:t xml:space="preserve"> 2002</w:t>
            </w:r>
          </w:p>
        </w:tc>
      </w:tr>
    </w:tbl>
    <w:p w:rsidR="0074480D" w:rsidRDefault="0074480D" w:rsidP="0074480D">
      <w:pPr>
        <w:pStyle w:val="Corpsdetexte"/>
        <w:jc w:val="center"/>
      </w:pPr>
    </w:p>
    <w:sectPr w:rsidR="0074480D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A58F8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3B3811">
      <w:rPr>
        <w:b/>
        <w:sz w:val="16"/>
        <w:szCs w:val="16"/>
      </w:rPr>
      <w:t xml:space="preserve"> DPE1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3B3811">
      <w:rPr>
        <w:sz w:val="16"/>
        <w:szCs w:val="16"/>
      </w:rPr>
      <w:t>ce.dpe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3B3811" w:rsidP="0042101F">
    <w:pPr>
      <w:pStyle w:val="ServiceInfoHeader"/>
      <w:rPr>
        <w:lang w:val="fr-FR"/>
      </w:rPr>
    </w:pPr>
    <w:r>
      <w:rPr>
        <w:lang w:val="fr-FR"/>
      </w:rPr>
      <w:t>D</w:t>
    </w:r>
    <w:r w:rsidR="007C5E99">
      <w:rPr>
        <w:lang w:val="fr-FR"/>
      </w:rPr>
      <w:t>i</w:t>
    </w:r>
    <w:r>
      <w:rPr>
        <w:lang w:val="fr-FR"/>
      </w:rPr>
      <w:t>rection des ressources humaines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AE"/>
    <w:multiLevelType w:val="hybridMultilevel"/>
    <w:tmpl w:val="580AD1D2"/>
    <w:lvl w:ilvl="0" w:tplc="C21C3BB8">
      <w:start w:val="14"/>
      <w:numFmt w:val="bullet"/>
      <w:lvlText w:val="-"/>
      <w:lvlJc w:val="left"/>
      <w:pPr>
        <w:ind w:left="-207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BF7319F"/>
    <w:multiLevelType w:val="hybridMultilevel"/>
    <w:tmpl w:val="54943E42"/>
    <w:lvl w:ilvl="0" w:tplc="14964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1F0D"/>
    <w:multiLevelType w:val="hybridMultilevel"/>
    <w:tmpl w:val="1EC61B46"/>
    <w:lvl w:ilvl="0" w:tplc="0FA44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24F"/>
    <w:multiLevelType w:val="hybridMultilevel"/>
    <w:tmpl w:val="03B493BA"/>
    <w:lvl w:ilvl="0" w:tplc="C1B01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3FD5211E"/>
    <w:multiLevelType w:val="hybridMultilevel"/>
    <w:tmpl w:val="B28AD182"/>
    <w:lvl w:ilvl="0" w:tplc="EF041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1DD4"/>
    <w:multiLevelType w:val="hybridMultilevel"/>
    <w:tmpl w:val="1C1247E2"/>
    <w:lvl w:ilvl="0" w:tplc="9724D4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E6E41"/>
    <w:multiLevelType w:val="hybridMultilevel"/>
    <w:tmpl w:val="FBD49A04"/>
    <w:lvl w:ilvl="0" w:tplc="486CE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5642"/>
    <w:multiLevelType w:val="hybridMultilevel"/>
    <w:tmpl w:val="C2FCBDA2"/>
    <w:lvl w:ilvl="0" w:tplc="52669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E37CE"/>
    <w:multiLevelType w:val="hybridMultilevel"/>
    <w:tmpl w:val="4EC4192C"/>
    <w:lvl w:ilvl="0" w:tplc="F7DEB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439F8"/>
    <w:multiLevelType w:val="hybridMultilevel"/>
    <w:tmpl w:val="E292795A"/>
    <w:lvl w:ilvl="0" w:tplc="BEDA3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5468"/>
    <w:multiLevelType w:val="hybridMultilevel"/>
    <w:tmpl w:val="E0B41972"/>
    <w:lvl w:ilvl="0" w:tplc="50B0C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05B3"/>
    <w:multiLevelType w:val="hybridMultilevel"/>
    <w:tmpl w:val="0D54C238"/>
    <w:lvl w:ilvl="0" w:tplc="DBDAC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60D60"/>
    <w:multiLevelType w:val="hybridMultilevel"/>
    <w:tmpl w:val="270AF3EC"/>
    <w:lvl w:ilvl="0" w:tplc="F0EACCD8">
      <w:start w:val="13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0CD1"/>
    <w:multiLevelType w:val="hybridMultilevel"/>
    <w:tmpl w:val="C1F0C40C"/>
    <w:lvl w:ilvl="0" w:tplc="91AC03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113B"/>
    <w:rsid w:val="00045DCD"/>
    <w:rsid w:val="00046EC0"/>
    <w:rsid w:val="00052684"/>
    <w:rsid w:val="00053C09"/>
    <w:rsid w:val="00081F5E"/>
    <w:rsid w:val="000825AD"/>
    <w:rsid w:val="00090A7B"/>
    <w:rsid w:val="000924D0"/>
    <w:rsid w:val="00097209"/>
    <w:rsid w:val="000B2DFE"/>
    <w:rsid w:val="000B65C5"/>
    <w:rsid w:val="000D3625"/>
    <w:rsid w:val="000D4F4A"/>
    <w:rsid w:val="000D6AF3"/>
    <w:rsid w:val="000E72B4"/>
    <w:rsid w:val="00112B40"/>
    <w:rsid w:val="001200FD"/>
    <w:rsid w:val="00143189"/>
    <w:rsid w:val="00143601"/>
    <w:rsid w:val="0014651F"/>
    <w:rsid w:val="001648E4"/>
    <w:rsid w:val="001828EA"/>
    <w:rsid w:val="00182947"/>
    <w:rsid w:val="00187EA9"/>
    <w:rsid w:val="001C79E5"/>
    <w:rsid w:val="001D6C0B"/>
    <w:rsid w:val="001D7631"/>
    <w:rsid w:val="001E18FE"/>
    <w:rsid w:val="001E52DD"/>
    <w:rsid w:val="001F0FB3"/>
    <w:rsid w:val="001F209A"/>
    <w:rsid w:val="00202B2A"/>
    <w:rsid w:val="00204FD5"/>
    <w:rsid w:val="00230B06"/>
    <w:rsid w:val="0023370D"/>
    <w:rsid w:val="002470A4"/>
    <w:rsid w:val="00252807"/>
    <w:rsid w:val="00256BB3"/>
    <w:rsid w:val="0027676D"/>
    <w:rsid w:val="00290741"/>
    <w:rsid w:val="00290CE8"/>
    <w:rsid w:val="00293194"/>
    <w:rsid w:val="002C53DF"/>
    <w:rsid w:val="002D6E65"/>
    <w:rsid w:val="002E698C"/>
    <w:rsid w:val="00305EE4"/>
    <w:rsid w:val="003065B9"/>
    <w:rsid w:val="003110BD"/>
    <w:rsid w:val="003240AC"/>
    <w:rsid w:val="003601BD"/>
    <w:rsid w:val="00381F0F"/>
    <w:rsid w:val="003A7BC3"/>
    <w:rsid w:val="003B3811"/>
    <w:rsid w:val="003B7CE0"/>
    <w:rsid w:val="003D1DE1"/>
    <w:rsid w:val="003D6FC8"/>
    <w:rsid w:val="003E1005"/>
    <w:rsid w:val="003F2312"/>
    <w:rsid w:val="00406561"/>
    <w:rsid w:val="004076D4"/>
    <w:rsid w:val="00414227"/>
    <w:rsid w:val="00415447"/>
    <w:rsid w:val="0042101F"/>
    <w:rsid w:val="004432F8"/>
    <w:rsid w:val="004529DA"/>
    <w:rsid w:val="00452D76"/>
    <w:rsid w:val="004608CD"/>
    <w:rsid w:val="00470ACB"/>
    <w:rsid w:val="00473BC2"/>
    <w:rsid w:val="00493139"/>
    <w:rsid w:val="004936AF"/>
    <w:rsid w:val="004C5046"/>
    <w:rsid w:val="004C7346"/>
    <w:rsid w:val="004C7EF7"/>
    <w:rsid w:val="004D0D46"/>
    <w:rsid w:val="004D1619"/>
    <w:rsid w:val="004D29D2"/>
    <w:rsid w:val="004E7415"/>
    <w:rsid w:val="00521BCD"/>
    <w:rsid w:val="00533FB0"/>
    <w:rsid w:val="00541E8B"/>
    <w:rsid w:val="005432D7"/>
    <w:rsid w:val="00590FFA"/>
    <w:rsid w:val="005972E3"/>
    <w:rsid w:val="005B11B6"/>
    <w:rsid w:val="005B6F0D"/>
    <w:rsid w:val="005C2939"/>
    <w:rsid w:val="005C4846"/>
    <w:rsid w:val="005D7DE1"/>
    <w:rsid w:val="005F2E98"/>
    <w:rsid w:val="005F469D"/>
    <w:rsid w:val="00600E03"/>
    <w:rsid w:val="00601526"/>
    <w:rsid w:val="006066E5"/>
    <w:rsid w:val="00625D93"/>
    <w:rsid w:val="006308AF"/>
    <w:rsid w:val="00636F69"/>
    <w:rsid w:val="00651077"/>
    <w:rsid w:val="006562AF"/>
    <w:rsid w:val="00661DD2"/>
    <w:rsid w:val="006859B0"/>
    <w:rsid w:val="00687039"/>
    <w:rsid w:val="0069258B"/>
    <w:rsid w:val="006A4ADA"/>
    <w:rsid w:val="006B4EB3"/>
    <w:rsid w:val="006C1DDF"/>
    <w:rsid w:val="006D502A"/>
    <w:rsid w:val="006E455E"/>
    <w:rsid w:val="006E4EF0"/>
    <w:rsid w:val="006F2701"/>
    <w:rsid w:val="007000EC"/>
    <w:rsid w:val="00703E23"/>
    <w:rsid w:val="00714D96"/>
    <w:rsid w:val="00725F74"/>
    <w:rsid w:val="00742A03"/>
    <w:rsid w:val="0074480D"/>
    <w:rsid w:val="007546DC"/>
    <w:rsid w:val="0079276E"/>
    <w:rsid w:val="007B4F8D"/>
    <w:rsid w:val="007B6F11"/>
    <w:rsid w:val="007C5E99"/>
    <w:rsid w:val="007E2D34"/>
    <w:rsid w:val="007E4ABF"/>
    <w:rsid w:val="007E72B9"/>
    <w:rsid w:val="007F1724"/>
    <w:rsid w:val="0080732D"/>
    <w:rsid w:val="00807CCD"/>
    <w:rsid w:val="0081060F"/>
    <w:rsid w:val="00820F54"/>
    <w:rsid w:val="00822782"/>
    <w:rsid w:val="00825676"/>
    <w:rsid w:val="008347E0"/>
    <w:rsid w:val="008513E8"/>
    <w:rsid w:val="00851458"/>
    <w:rsid w:val="00855232"/>
    <w:rsid w:val="00863753"/>
    <w:rsid w:val="00872390"/>
    <w:rsid w:val="00875041"/>
    <w:rsid w:val="008860AD"/>
    <w:rsid w:val="008A5D5F"/>
    <w:rsid w:val="008A73FE"/>
    <w:rsid w:val="008D1262"/>
    <w:rsid w:val="008E3887"/>
    <w:rsid w:val="009260F1"/>
    <w:rsid w:val="00930B38"/>
    <w:rsid w:val="00936712"/>
    <w:rsid w:val="00936E45"/>
    <w:rsid w:val="00941377"/>
    <w:rsid w:val="00946EB1"/>
    <w:rsid w:val="009633AE"/>
    <w:rsid w:val="00981DFC"/>
    <w:rsid w:val="00992DBA"/>
    <w:rsid w:val="009A079F"/>
    <w:rsid w:val="009A1834"/>
    <w:rsid w:val="009A2630"/>
    <w:rsid w:val="009C0C96"/>
    <w:rsid w:val="009C141C"/>
    <w:rsid w:val="009C486F"/>
    <w:rsid w:val="009F06C8"/>
    <w:rsid w:val="009F56A7"/>
    <w:rsid w:val="009F692C"/>
    <w:rsid w:val="00A10A83"/>
    <w:rsid w:val="00A124A0"/>
    <w:rsid w:val="00A127FD"/>
    <w:rsid w:val="00A12C91"/>
    <w:rsid w:val="00A1486F"/>
    <w:rsid w:val="00A23112"/>
    <w:rsid w:val="00A30EA6"/>
    <w:rsid w:val="00A54023"/>
    <w:rsid w:val="00A63044"/>
    <w:rsid w:val="00A75130"/>
    <w:rsid w:val="00A84CCB"/>
    <w:rsid w:val="00A9229C"/>
    <w:rsid w:val="00AE29A2"/>
    <w:rsid w:val="00AE48FE"/>
    <w:rsid w:val="00AE496E"/>
    <w:rsid w:val="00AE53BA"/>
    <w:rsid w:val="00AE6651"/>
    <w:rsid w:val="00AF1D5B"/>
    <w:rsid w:val="00AF6BD3"/>
    <w:rsid w:val="00AF7526"/>
    <w:rsid w:val="00B3535A"/>
    <w:rsid w:val="00B37451"/>
    <w:rsid w:val="00B46AF7"/>
    <w:rsid w:val="00B55B58"/>
    <w:rsid w:val="00B600A1"/>
    <w:rsid w:val="00B86F0D"/>
    <w:rsid w:val="00B94F8F"/>
    <w:rsid w:val="00BC059F"/>
    <w:rsid w:val="00BE6F5A"/>
    <w:rsid w:val="00C14630"/>
    <w:rsid w:val="00C14AB9"/>
    <w:rsid w:val="00C220A3"/>
    <w:rsid w:val="00C2719A"/>
    <w:rsid w:val="00C27E20"/>
    <w:rsid w:val="00C33CE1"/>
    <w:rsid w:val="00C626C1"/>
    <w:rsid w:val="00C66322"/>
    <w:rsid w:val="00C67312"/>
    <w:rsid w:val="00C7451D"/>
    <w:rsid w:val="00C95492"/>
    <w:rsid w:val="00C96A76"/>
    <w:rsid w:val="00CA1F19"/>
    <w:rsid w:val="00CA36E0"/>
    <w:rsid w:val="00CA6459"/>
    <w:rsid w:val="00CC1666"/>
    <w:rsid w:val="00CD5E65"/>
    <w:rsid w:val="00CE16E3"/>
    <w:rsid w:val="00CE1BE6"/>
    <w:rsid w:val="00D10C52"/>
    <w:rsid w:val="00D816DF"/>
    <w:rsid w:val="00D9554D"/>
    <w:rsid w:val="00D96935"/>
    <w:rsid w:val="00DA2090"/>
    <w:rsid w:val="00DC43F1"/>
    <w:rsid w:val="00DC602E"/>
    <w:rsid w:val="00DD50D6"/>
    <w:rsid w:val="00DE2EC5"/>
    <w:rsid w:val="00E016CE"/>
    <w:rsid w:val="00E04BF2"/>
    <w:rsid w:val="00E05336"/>
    <w:rsid w:val="00E14960"/>
    <w:rsid w:val="00E14F09"/>
    <w:rsid w:val="00E47097"/>
    <w:rsid w:val="00E555C3"/>
    <w:rsid w:val="00E669F0"/>
    <w:rsid w:val="00E81507"/>
    <w:rsid w:val="00EA58F8"/>
    <w:rsid w:val="00EC02B8"/>
    <w:rsid w:val="00EC6524"/>
    <w:rsid w:val="00EE0CAE"/>
    <w:rsid w:val="00EF1BBA"/>
    <w:rsid w:val="00EF5CF0"/>
    <w:rsid w:val="00F043B7"/>
    <w:rsid w:val="00F22CF7"/>
    <w:rsid w:val="00F2464C"/>
    <w:rsid w:val="00F25DA3"/>
    <w:rsid w:val="00F261BB"/>
    <w:rsid w:val="00F542FC"/>
    <w:rsid w:val="00F56C3B"/>
    <w:rsid w:val="00F7722A"/>
    <w:rsid w:val="00F81CAD"/>
    <w:rsid w:val="00F871FF"/>
    <w:rsid w:val="00F90B0C"/>
    <w:rsid w:val="00FB481B"/>
    <w:rsid w:val="00FB53D8"/>
    <w:rsid w:val="00FC5910"/>
    <w:rsid w:val="00FC5B7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315CCA3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FC5B72"/>
    <w:pPr>
      <w:ind w:left="11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C5B72"/>
    <w:rPr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Corps">
    <w:name w:val="Corps"/>
    <w:rsid w:val="003065B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FR"/>
    </w:rPr>
  </w:style>
  <w:style w:type="character" w:customStyle="1" w:styleId="renvoi">
    <w:name w:val="renvoi"/>
    <w:basedOn w:val="Policepardfaut"/>
    <w:rsid w:val="00B86F0D"/>
  </w:style>
  <w:style w:type="table" w:styleId="Grilleclaire-Accent5">
    <w:name w:val="Light Grid Accent 5"/>
    <w:basedOn w:val="TableauNormal"/>
    <w:uiPriority w:val="62"/>
    <w:rsid w:val="00C626C1"/>
    <w:pPr>
      <w:widowControl/>
      <w:autoSpaceDE/>
      <w:autoSpaceDN/>
    </w:pPr>
    <w:rPr>
      <w:rFonts w:ascii="Times" w:eastAsia="Times" w:hAnsi="Times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A26859" w:themeColor="accent5"/>
        <w:left w:val="single" w:sz="8" w:space="0" w:color="A26859" w:themeColor="accent5"/>
        <w:bottom w:val="single" w:sz="8" w:space="0" w:color="A26859" w:themeColor="accent5"/>
        <w:right w:val="single" w:sz="8" w:space="0" w:color="A26859" w:themeColor="accent5"/>
        <w:insideH w:val="single" w:sz="8" w:space="0" w:color="A26859" w:themeColor="accent5"/>
        <w:insideV w:val="single" w:sz="8" w:space="0" w:color="A268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859" w:themeColor="accent5"/>
          <w:left w:val="single" w:sz="8" w:space="0" w:color="A26859" w:themeColor="accent5"/>
          <w:bottom w:val="single" w:sz="18" w:space="0" w:color="A26859" w:themeColor="accent5"/>
          <w:right w:val="single" w:sz="8" w:space="0" w:color="A26859" w:themeColor="accent5"/>
          <w:insideH w:val="nil"/>
          <w:insideV w:val="single" w:sz="8" w:space="0" w:color="A268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859" w:themeColor="accent5"/>
          <w:left w:val="single" w:sz="8" w:space="0" w:color="A26859" w:themeColor="accent5"/>
          <w:bottom w:val="single" w:sz="8" w:space="0" w:color="A26859" w:themeColor="accent5"/>
          <w:right w:val="single" w:sz="8" w:space="0" w:color="A26859" w:themeColor="accent5"/>
          <w:insideH w:val="nil"/>
          <w:insideV w:val="single" w:sz="8" w:space="0" w:color="A268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859" w:themeColor="accent5"/>
          <w:left w:val="single" w:sz="8" w:space="0" w:color="A26859" w:themeColor="accent5"/>
          <w:bottom w:val="single" w:sz="8" w:space="0" w:color="A26859" w:themeColor="accent5"/>
          <w:right w:val="single" w:sz="8" w:space="0" w:color="A26859" w:themeColor="accent5"/>
        </w:tcBorders>
      </w:tcPr>
    </w:tblStylePr>
    <w:tblStylePr w:type="band1Vert">
      <w:tblPr/>
      <w:tcPr>
        <w:tcBorders>
          <w:top w:val="single" w:sz="8" w:space="0" w:color="A26859" w:themeColor="accent5"/>
          <w:left w:val="single" w:sz="8" w:space="0" w:color="A26859" w:themeColor="accent5"/>
          <w:bottom w:val="single" w:sz="8" w:space="0" w:color="A26859" w:themeColor="accent5"/>
          <w:right w:val="single" w:sz="8" w:space="0" w:color="A26859" w:themeColor="accent5"/>
        </w:tcBorders>
        <w:shd w:val="clear" w:color="auto" w:fill="E8D9D5" w:themeFill="accent5" w:themeFillTint="3F"/>
      </w:tcPr>
    </w:tblStylePr>
    <w:tblStylePr w:type="band1Horz">
      <w:tblPr/>
      <w:tcPr>
        <w:tcBorders>
          <w:top w:val="single" w:sz="8" w:space="0" w:color="A26859" w:themeColor="accent5"/>
          <w:left w:val="single" w:sz="8" w:space="0" w:color="A26859" w:themeColor="accent5"/>
          <w:bottom w:val="single" w:sz="8" w:space="0" w:color="A26859" w:themeColor="accent5"/>
          <w:right w:val="single" w:sz="8" w:space="0" w:color="A26859" w:themeColor="accent5"/>
          <w:insideV w:val="single" w:sz="8" w:space="0" w:color="A26859" w:themeColor="accent5"/>
        </w:tcBorders>
        <w:shd w:val="clear" w:color="auto" w:fill="E8D9D5" w:themeFill="accent5" w:themeFillTint="3F"/>
      </w:tcPr>
    </w:tblStylePr>
    <w:tblStylePr w:type="band2Horz">
      <w:tblPr/>
      <w:tcPr>
        <w:tcBorders>
          <w:top w:val="single" w:sz="8" w:space="0" w:color="A26859" w:themeColor="accent5"/>
          <w:left w:val="single" w:sz="8" w:space="0" w:color="A26859" w:themeColor="accent5"/>
          <w:bottom w:val="single" w:sz="8" w:space="0" w:color="A26859" w:themeColor="accent5"/>
          <w:right w:val="single" w:sz="8" w:space="0" w:color="A26859" w:themeColor="accent5"/>
          <w:insideV w:val="single" w:sz="8" w:space="0" w:color="A26859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c7ddd52-0a06-43b1-a35c-dcb15ea2e3f4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73669C-7424-43A7-8887-62F4A5C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Aurelie Farget</cp:lastModifiedBy>
  <cp:revision>11</cp:revision>
  <cp:lastPrinted>2020-07-06T09:55:00Z</cp:lastPrinted>
  <dcterms:created xsi:type="dcterms:W3CDTF">2022-04-29T15:58:00Z</dcterms:created>
  <dcterms:modified xsi:type="dcterms:W3CDTF">2022-06-15T06:35:00Z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